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default" w:ascii="Times New Roman" w:hAnsi="Times New Roman" w:cs="Times New Roman"/>
          <w:b/>
          <w:sz w:val="22"/>
          <w:szCs w:val="24"/>
          <w:lang w:val="en-US" w:eastAsia="zh-CN"/>
        </w:rPr>
      </w:pPr>
      <w:r>
        <w:rPr>
          <w:rFonts w:hint="eastAsia" w:ascii="Times New Roman" w:hAnsi="Times New Roman" w:cs="Times New Roman"/>
          <w:b/>
          <w:sz w:val="22"/>
          <w:szCs w:val="24"/>
          <w:lang w:val="en-US" w:eastAsia="zh-CN"/>
        </w:rPr>
        <w:t>附件4.1</w:t>
      </w:r>
    </w:p>
    <w:p>
      <w:pPr>
        <w:jc w:val="center"/>
        <w:rPr>
          <w:rFonts w:asciiTheme="minorEastAsia" w:hAnsiTheme="minorEastAsia"/>
          <w:b/>
          <w:sz w:val="36"/>
          <w:szCs w:val="36"/>
        </w:rPr>
      </w:pPr>
      <w:r>
        <w:rPr>
          <w:rFonts w:hint="eastAsia" w:asciiTheme="minorEastAsia" w:hAnsiTheme="minorEastAsia"/>
          <w:b/>
          <w:sz w:val="36"/>
          <w:szCs w:val="36"/>
        </w:rPr>
        <w:t>试验用药品管理信息摘要表</w:t>
      </w:r>
    </w:p>
    <w:p>
      <w:pPr>
        <w:rPr>
          <w:rFonts w:asciiTheme="minorEastAsia" w:hAnsiTheme="minorEastAsia"/>
          <w:sz w:val="36"/>
          <w:szCs w:val="36"/>
        </w:rPr>
      </w:pPr>
    </w:p>
    <w:p>
      <w:pPr>
        <w:spacing w:line="440" w:lineRule="exact"/>
        <w:rPr>
          <w:rFonts w:asciiTheme="minorEastAsia" w:hAnsiTheme="minorEastAsia"/>
          <w:sz w:val="24"/>
          <w:szCs w:val="24"/>
        </w:rPr>
      </w:pPr>
      <w:r>
        <w:rPr>
          <w:rFonts w:hint="eastAsia" w:asciiTheme="minorEastAsia" w:hAnsiTheme="minorEastAsia"/>
          <w:sz w:val="24"/>
          <w:szCs w:val="24"/>
        </w:rPr>
        <w:t>方案编号：</w:t>
      </w:r>
      <w:r>
        <w:rPr>
          <w:rFonts w:asciiTheme="minorEastAsia" w:hAnsiTheme="minorEastAsia"/>
          <w:sz w:val="24"/>
          <w:szCs w:val="24"/>
          <w:u w:val="single"/>
        </w:rPr>
        <w:t xml:space="preserve">                        </w:t>
      </w:r>
      <w:r>
        <w:rPr>
          <w:rFonts w:hint="eastAsia" w:asciiTheme="minorEastAsia" w:hAnsiTheme="minorEastAsia"/>
          <w:sz w:val="24"/>
          <w:szCs w:val="24"/>
        </w:rPr>
        <w:t xml:space="preserve">    中心编号：</w:t>
      </w:r>
      <w:r>
        <w:rPr>
          <w:rFonts w:asciiTheme="minorEastAsia" w:hAnsiTheme="minorEastAsia"/>
          <w:sz w:val="24"/>
          <w:szCs w:val="24"/>
          <w:u w:val="single"/>
        </w:rPr>
        <w:t xml:space="preserve">                        </w:t>
      </w:r>
    </w:p>
    <w:p>
      <w:pPr>
        <w:spacing w:line="440" w:lineRule="exact"/>
        <w:rPr>
          <w:rFonts w:asciiTheme="minorEastAsia" w:hAnsiTheme="minorEastAsia"/>
          <w:sz w:val="24"/>
          <w:szCs w:val="24"/>
        </w:rPr>
      </w:pPr>
      <w:r>
        <w:rPr>
          <w:rFonts w:hint="eastAsia" w:asciiTheme="minorEastAsia" w:hAnsiTheme="minorEastAsia"/>
          <w:sz w:val="24"/>
          <w:szCs w:val="24"/>
        </w:rPr>
        <w:t>试验编号：</w:t>
      </w:r>
      <w:r>
        <w:rPr>
          <w:rFonts w:asciiTheme="minorEastAsia" w:hAnsiTheme="minorEastAsia"/>
          <w:sz w:val="24"/>
          <w:szCs w:val="24"/>
          <w:u w:val="single"/>
        </w:rPr>
        <w:t xml:space="preserve">                        </w:t>
      </w:r>
      <w:r>
        <w:rPr>
          <w:rFonts w:hint="eastAsia" w:asciiTheme="minorEastAsia" w:hAnsiTheme="minorEastAsia"/>
          <w:sz w:val="24"/>
          <w:szCs w:val="24"/>
        </w:rPr>
        <w:t xml:space="preserve">    所属专业：</w:t>
      </w:r>
      <w:r>
        <w:rPr>
          <w:rFonts w:asciiTheme="minorEastAsia" w:hAnsiTheme="minorEastAsia"/>
          <w:sz w:val="24"/>
          <w:szCs w:val="24"/>
          <w:u w:val="single"/>
        </w:rPr>
        <w:t xml:space="preserve">                        </w:t>
      </w:r>
      <w:r>
        <w:rPr>
          <w:rFonts w:hint="eastAsia" w:asciiTheme="minorEastAsia" w:hAnsiTheme="minorEastAsia"/>
          <w:sz w:val="24"/>
          <w:szCs w:val="24"/>
        </w:rPr>
        <w:t xml:space="preserve">   主要研究者：</w:t>
      </w:r>
      <w:r>
        <w:rPr>
          <w:rFonts w:asciiTheme="minorEastAsia" w:hAnsiTheme="minorEastAsia"/>
          <w:sz w:val="24"/>
          <w:szCs w:val="24"/>
          <w:u w:val="single"/>
        </w:rPr>
        <w:t xml:space="preserve">                         </w:t>
      </w:r>
      <w:r>
        <w:rPr>
          <w:rFonts w:hint="eastAsia" w:asciiTheme="minorEastAsia" w:hAnsiTheme="minorEastAsia"/>
          <w:sz w:val="24"/>
          <w:szCs w:val="24"/>
          <w:u w:val="single"/>
        </w:rPr>
        <w:t xml:space="preserve">       </w:t>
      </w:r>
      <w:r>
        <w:rPr>
          <w:rFonts w:asciiTheme="minorEastAsia" w:hAnsiTheme="minorEastAsia"/>
          <w:sz w:val="24"/>
          <w:szCs w:val="24"/>
          <w:u w:val="single"/>
        </w:rPr>
        <w:t xml:space="preserve">    </w:t>
      </w:r>
    </w:p>
    <w:p>
      <w:pPr>
        <w:spacing w:line="440" w:lineRule="exact"/>
        <w:rPr>
          <w:rFonts w:asciiTheme="minorEastAsia" w:hAnsiTheme="minorEastAsia"/>
          <w:sz w:val="24"/>
          <w:szCs w:val="24"/>
          <w:u w:val="single"/>
        </w:rPr>
      </w:pPr>
      <w:r>
        <w:rPr>
          <w:rFonts w:hint="eastAsia" w:asciiTheme="minorEastAsia" w:hAnsiTheme="minorEastAsia"/>
          <w:sz w:val="24"/>
          <w:szCs w:val="24"/>
        </w:rPr>
        <w:t>试验名称：</w:t>
      </w:r>
      <w:r>
        <w:rPr>
          <w:rFonts w:hint="eastAsia" w:asciiTheme="minorEastAsia" w:hAnsiTheme="minorEastAsia"/>
          <w:sz w:val="24"/>
          <w:szCs w:val="24"/>
          <w:u w:val="single"/>
        </w:rPr>
        <w:t xml:space="preserve">                                                                                                                  </w:t>
      </w:r>
    </w:p>
    <w:p>
      <w:pPr>
        <w:spacing w:line="440" w:lineRule="exact"/>
        <w:rPr>
          <w:rFonts w:asciiTheme="minorEastAsia" w:hAnsiTheme="minorEastAsia"/>
          <w:sz w:val="24"/>
          <w:szCs w:val="24"/>
          <w:u w:val="single"/>
        </w:rPr>
      </w:pPr>
      <w:r>
        <w:rPr>
          <w:rFonts w:asciiTheme="minorEastAsia" w:hAnsiTheme="minorEastAsia"/>
          <w:sz w:val="24"/>
          <w:szCs w:val="24"/>
          <w:u w:val="single"/>
        </w:rPr>
        <w:t xml:space="preserve">                                                                                               </w:t>
      </w:r>
      <w:r>
        <w:rPr>
          <w:rFonts w:hint="eastAsia" w:asciiTheme="minorEastAsia" w:hAnsiTheme="minorEastAsia"/>
          <w:sz w:val="24"/>
          <w:szCs w:val="24"/>
          <w:u w:val="single"/>
        </w:rPr>
        <w:t xml:space="preserve">             </w:t>
      </w:r>
      <w:r>
        <w:rPr>
          <w:rFonts w:hint="eastAsia" w:asciiTheme="minorEastAsia" w:hAnsiTheme="minorEastAsia"/>
          <w:sz w:val="28"/>
          <w:szCs w:val="28"/>
          <w:u w:val="single"/>
        </w:rPr>
        <w:t xml:space="preserve">      </w:t>
      </w:r>
      <w:r>
        <w:rPr>
          <w:rFonts w:asciiTheme="minorEastAsia" w:hAnsiTheme="minorEastAsia"/>
          <w:sz w:val="28"/>
          <w:szCs w:val="28"/>
          <w:u w:val="single"/>
        </w:rPr>
        <w:t xml:space="preserve">        </w:t>
      </w:r>
      <w:r>
        <w:rPr>
          <w:rFonts w:asciiTheme="minorEastAsia" w:hAnsiTheme="minorEastAsia"/>
          <w:sz w:val="24"/>
          <w:szCs w:val="24"/>
          <w:u w:val="single"/>
        </w:rPr>
        <w:t xml:space="preserve">  </w:t>
      </w:r>
    </w:p>
    <w:tbl>
      <w:tblPr>
        <w:tblStyle w:val="4"/>
        <w:tblW w:w="15480" w:type="dxa"/>
        <w:jc w:val="center"/>
        <w:tblLayout w:type="autofit"/>
        <w:tblCellMar>
          <w:top w:w="15" w:type="dxa"/>
          <w:left w:w="108" w:type="dxa"/>
          <w:bottom w:w="15" w:type="dxa"/>
          <w:right w:w="108" w:type="dxa"/>
        </w:tblCellMar>
      </w:tblPr>
      <w:tblGrid>
        <w:gridCol w:w="1140"/>
        <w:gridCol w:w="11780"/>
        <w:gridCol w:w="2560"/>
      </w:tblGrid>
      <w:tr>
        <w:tblPrEx>
          <w:tblCellMar>
            <w:top w:w="15" w:type="dxa"/>
            <w:left w:w="108" w:type="dxa"/>
            <w:bottom w:w="15" w:type="dxa"/>
            <w:right w:w="108" w:type="dxa"/>
          </w:tblCellMar>
        </w:tblPrEx>
        <w:trPr>
          <w:trHeight w:val="435"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序号</w:t>
            </w:r>
          </w:p>
        </w:tc>
        <w:tc>
          <w:tcPr>
            <w:tcW w:w="117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相关事项</w:t>
            </w:r>
          </w:p>
        </w:tc>
        <w:tc>
          <w:tcPr>
            <w:tcW w:w="2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备注</w:t>
            </w:r>
          </w:p>
        </w:tc>
      </w:tr>
      <w:tr>
        <w:tblPrEx>
          <w:tblCellMar>
            <w:top w:w="15" w:type="dxa"/>
            <w:left w:w="108" w:type="dxa"/>
            <w:bottom w:w="15" w:type="dxa"/>
            <w:right w:w="108" w:type="dxa"/>
          </w:tblCellMar>
        </w:tblPrEx>
        <w:trPr>
          <w:trHeight w:val="706"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p>
        </w:tc>
        <w:tc>
          <w:tcPr>
            <w:tcW w:w="117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ascii="Times New Roman" w:hAnsi="Times New Roman" w:cs="Times New Roman"/>
                <w:color w:val="000000"/>
                <w:kern w:val="0"/>
                <w:sz w:val="24"/>
                <w:szCs w:val="24"/>
              </w:rPr>
            </w:pPr>
            <w:r>
              <w:rPr>
                <w:rFonts w:hint="eastAsia" w:ascii="Times New Roman" w:hAnsi="Times New Roman" w:cs="Times New Roman"/>
                <w:color w:val="000000"/>
                <w:kern w:val="0"/>
                <w:sz w:val="24"/>
                <w:szCs w:val="24"/>
                <w:lang w:eastAsia="zh-CN"/>
              </w:rPr>
              <w:t>本中心</w:t>
            </w:r>
            <w:r>
              <w:rPr>
                <w:rFonts w:ascii="Times New Roman" w:hAnsi="Times New Roman" w:cs="Times New Roman"/>
                <w:color w:val="000000"/>
                <w:kern w:val="0"/>
                <w:sz w:val="24"/>
                <w:szCs w:val="24"/>
              </w:rPr>
              <w:t>计划入组例数：</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674"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w:t>
            </w:r>
          </w:p>
        </w:tc>
        <w:tc>
          <w:tcPr>
            <w:tcW w:w="117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受试者编号规则：筛选号：                                   入组号（随机号）：</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614"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3</w:t>
            </w:r>
          </w:p>
        </w:tc>
        <w:tc>
          <w:tcPr>
            <w:tcW w:w="117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受试者姓名缩写规则(举例说明)：                                                           </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630"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p>
        </w:tc>
        <w:tc>
          <w:tcPr>
            <w:tcW w:w="11780" w:type="dxa"/>
            <w:tcBorders>
              <w:top w:val="single" w:color="auto" w:sz="4" w:space="0"/>
              <w:left w:val="single" w:color="auto" w:sz="4" w:space="0"/>
              <w:bottom w:val="single" w:color="auto" w:sz="4" w:space="0"/>
              <w:right w:val="nil"/>
            </w:tcBorders>
            <w:vAlign w:val="bottom"/>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药品名称（书写完整，包括通用名、商品名（如有）)、规格、剂型、包装（具体到最小单位，如10片/瓶*5瓶/盒）及储存条件：</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试验药：</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安慰剂：</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对照药：</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基础用药：</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其他：</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630"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p>
        </w:tc>
        <w:tc>
          <w:tcPr>
            <w:tcW w:w="11780" w:type="dxa"/>
            <w:tcBorders>
              <w:top w:val="single" w:color="auto" w:sz="4" w:space="0"/>
              <w:left w:val="single" w:color="auto" w:sz="4" w:space="0"/>
              <w:bottom w:val="single" w:color="auto" w:sz="4" w:space="0"/>
              <w:right w:val="nil"/>
            </w:tcBorders>
            <w:vAlign w:val="bottom"/>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试验用药品是否重新包装：                                                                                                                                           </w:t>
            </w:r>
            <w:r>
              <w:rPr>
                <w:rFonts w:hint="eastAsia" w:ascii="仿宋" w:hAnsi="仿宋" w:eastAsia="仿宋"/>
                <w:sz w:val="24"/>
                <w:szCs w:val="24"/>
              </w:rPr>
              <w:t>□</w:t>
            </w:r>
            <w:r>
              <w:rPr>
                <w:rFonts w:ascii="Times New Roman" w:hAnsi="Times New Roman" w:cs="Times New Roman"/>
                <w:color w:val="000000"/>
                <w:kern w:val="0"/>
                <w:sz w:val="24"/>
                <w:szCs w:val="24"/>
              </w:rPr>
              <w:t>是（如生成新的批号请提供试验用药品包装批号与药检报告批号关联说明）</w:t>
            </w:r>
          </w:p>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试验药、安慰剂或对照药重新包装（以终版包装标签为准）后药品名称、规格、包装及保存条件：</w:t>
            </w:r>
          </w:p>
          <w:p>
            <w:pPr>
              <w:widowControl/>
              <w:spacing w:line="360" w:lineRule="auto"/>
              <w:jc w:val="left"/>
              <w:rPr>
                <w:rFonts w:ascii="Times New Roman" w:hAnsi="Times New Roman" w:cs="Times New Roman"/>
                <w:color w:val="000000"/>
                <w:kern w:val="0"/>
                <w:sz w:val="24"/>
                <w:szCs w:val="24"/>
              </w:rPr>
            </w:pPr>
          </w:p>
          <w:p>
            <w:pPr>
              <w:widowControl/>
              <w:spacing w:line="360" w:lineRule="auto"/>
              <w:jc w:val="left"/>
              <w:rPr>
                <w:rFonts w:ascii="Times New Roman" w:hAnsi="Times New Roman" w:cs="Times New Roman"/>
                <w:color w:val="000000"/>
                <w:kern w:val="0"/>
                <w:sz w:val="24"/>
                <w:szCs w:val="24"/>
              </w:rPr>
            </w:pP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 xml:space="preserve">否        </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 xml:space="preserve">不适用  </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495"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p>
        </w:tc>
        <w:tc>
          <w:tcPr>
            <w:tcW w:w="117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药品编号： </w:t>
            </w:r>
            <w:r>
              <w:rPr>
                <w:rFonts w:hint="eastAsia" w:ascii="仿宋" w:hAnsi="仿宋" w:eastAsia="仿宋"/>
                <w:sz w:val="24"/>
                <w:szCs w:val="24"/>
              </w:rPr>
              <w:t>□</w:t>
            </w:r>
            <w:r>
              <w:rPr>
                <w:rFonts w:ascii="Times New Roman" w:hAnsi="Times New Roman" w:cs="Times New Roman"/>
                <w:color w:val="000000"/>
                <w:kern w:val="0"/>
                <w:sz w:val="24"/>
                <w:szCs w:val="24"/>
              </w:rPr>
              <w:t xml:space="preserve">有                </w:t>
            </w:r>
            <w:r>
              <w:rPr>
                <w:rFonts w:hint="eastAsia" w:ascii="仿宋" w:hAnsi="仿宋" w:eastAsia="仿宋"/>
                <w:sz w:val="24"/>
                <w:szCs w:val="24"/>
              </w:rPr>
              <w:t>□</w:t>
            </w:r>
            <w:r>
              <w:rPr>
                <w:rFonts w:ascii="Times New Roman" w:hAnsi="Times New Roman" w:cs="Times New Roman"/>
                <w:color w:val="000000"/>
                <w:kern w:val="0"/>
                <w:sz w:val="24"/>
                <w:szCs w:val="24"/>
              </w:rPr>
              <w:t>无</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495"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p>
        </w:tc>
        <w:tc>
          <w:tcPr>
            <w:tcW w:w="117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药品接收时是否需要IWRS等系统确认：      </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 xml:space="preserve">需要（如需要，请申请相关人员IWRS等账号）        </w:t>
            </w:r>
            <w:r>
              <w:rPr>
                <w:rFonts w:hint="eastAsia" w:ascii="仿宋" w:hAnsi="仿宋" w:eastAsia="仿宋"/>
                <w:sz w:val="24"/>
                <w:szCs w:val="24"/>
              </w:rPr>
              <w:t>□</w:t>
            </w:r>
            <w:r>
              <w:rPr>
                <w:rFonts w:ascii="Times New Roman" w:hAnsi="Times New Roman" w:cs="Times New Roman"/>
                <w:color w:val="000000"/>
                <w:kern w:val="0"/>
                <w:sz w:val="24"/>
                <w:szCs w:val="24"/>
              </w:rPr>
              <w:t>不需要</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495"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p>
        </w:tc>
        <w:tc>
          <w:tcPr>
            <w:tcW w:w="117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运送途中温度监测（从申办方至中心药房）： </w:t>
            </w:r>
            <w:r>
              <w:rPr>
                <w:rFonts w:hint="eastAsia" w:ascii="仿宋" w:hAnsi="仿宋" w:eastAsia="仿宋"/>
                <w:sz w:val="24"/>
                <w:szCs w:val="24"/>
              </w:rPr>
              <w:t>□</w:t>
            </w:r>
            <w:r>
              <w:rPr>
                <w:rFonts w:ascii="Times New Roman" w:hAnsi="Times New Roman" w:cs="Times New Roman"/>
                <w:color w:val="000000"/>
                <w:kern w:val="0"/>
                <w:sz w:val="24"/>
                <w:szCs w:val="24"/>
              </w:rPr>
              <w:t xml:space="preserve">需温度计监测        </w:t>
            </w:r>
            <w:r>
              <w:rPr>
                <w:rFonts w:hint="eastAsia" w:ascii="仿宋" w:hAnsi="仿宋" w:eastAsia="仿宋"/>
                <w:sz w:val="24"/>
                <w:szCs w:val="24"/>
              </w:rPr>
              <w:t>□</w:t>
            </w:r>
            <w:r>
              <w:rPr>
                <w:rFonts w:ascii="Times New Roman" w:hAnsi="Times New Roman" w:cs="Times New Roman"/>
                <w:color w:val="000000"/>
                <w:kern w:val="0"/>
                <w:sz w:val="24"/>
                <w:szCs w:val="24"/>
              </w:rPr>
              <w:t xml:space="preserve">不适用（请备注原因）                   </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382"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p>
        </w:tc>
        <w:tc>
          <w:tcPr>
            <w:tcW w:w="11780" w:type="dxa"/>
            <w:tcBorders>
              <w:top w:val="single" w:color="auto" w:sz="4" w:space="0"/>
              <w:left w:val="single" w:color="auto" w:sz="4" w:space="0"/>
              <w:bottom w:val="single" w:color="auto" w:sz="4" w:space="0"/>
              <w:right w:val="nil"/>
            </w:tcBorders>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转运途中温度监测（从中心药房至专业科室）：</w:t>
            </w:r>
            <w:r>
              <w:rPr>
                <w:rFonts w:hint="eastAsia" w:ascii="仿宋" w:hAnsi="仿宋" w:eastAsia="仿宋"/>
                <w:sz w:val="24"/>
                <w:szCs w:val="24"/>
              </w:rPr>
              <w:t>□</w:t>
            </w:r>
            <w:r>
              <w:rPr>
                <w:rFonts w:ascii="Times New Roman" w:hAnsi="Times New Roman" w:cs="Times New Roman"/>
                <w:color w:val="000000"/>
                <w:kern w:val="0"/>
                <w:sz w:val="24"/>
                <w:szCs w:val="24"/>
              </w:rPr>
              <w:t xml:space="preserve">需要               </w:t>
            </w:r>
            <w:r>
              <w:rPr>
                <w:rFonts w:hint="eastAsia" w:ascii="仿宋" w:hAnsi="仿宋" w:eastAsia="仿宋"/>
                <w:sz w:val="24"/>
                <w:szCs w:val="24"/>
              </w:rPr>
              <w:t>□</w:t>
            </w:r>
            <w:r>
              <w:rPr>
                <w:rFonts w:ascii="Times New Roman" w:hAnsi="Times New Roman" w:cs="Times New Roman"/>
                <w:color w:val="000000"/>
                <w:kern w:val="0"/>
                <w:sz w:val="24"/>
                <w:szCs w:val="24"/>
              </w:rPr>
              <w:t xml:space="preserve">不需要  </w:t>
            </w:r>
          </w:p>
        </w:tc>
        <w:tc>
          <w:tcPr>
            <w:tcW w:w="2560" w:type="dxa"/>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1650"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p>
        </w:tc>
        <w:tc>
          <w:tcPr>
            <w:tcW w:w="1178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试验用药品发放规则或随机方法：                                                                                                                                                       </w:t>
            </w:r>
            <w:r>
              <w:rPr>
                <w:rFonts w:hint="eastAsia" w:ascii="仿宋" w:hAnsi="仿宋" w:eastAsia="仿宋"/>
                <w:sz w:val="24"/>
                <w:szCs w:val="24"/>
              </w:rPr>
              <w:t>□</w:t>
            </w:r>
            <w:r>
              <w:rPr>
                <w:rFonts w:ascii="Times New Roman" w:hAnsi="Times New Roman" w:cs="Times New Roman"/>
                <w:color w:val="000000"/>
                <w:kern w:val="0"/>
                <w:sz w:val="24"/>
                <w:szCs w:val="24"/>
              </w:rPr>
              <w:t xml:space="preserve">按药品名称、批号等发放                                                                                                                                                     </w:t>
            </w:r>
            <w:r>
              <w:rPr>
                <w:rFonts w:hint="eastAsia" w:ascii="仿宋" w:hAnsi="仿宋" w:eastAsia="仿宋"/>
                <w:sz w:val="24"/>
                <w:szCs w:val="24"/>
              </w:rPr>
              <w:t>□</w:t>
            </w:r>
            <w:r>
              <w:rPr>
                <w:rFonts w:ascii="Times New Roman" w:hAnsi="Times New Roman" w:cs="Times New Roman"/>
                <w:color w:val="000000"/>
                <w:kern w:val="0"/>
                <w:sz w:val="24"/>
                <w:szCs w:val="24"/>
              </w:rPr>
              <w:t xml:space="preserve">按药品编号顺序发放                                                                                </w:t>
            </w:r>
            <w:r>
              <w:rPr>
                <w:rFonts w:hint="eastAsia" w:ascii="仿宋" w:hAnsi="仿宋" w:eastAsia="仿宋"/>
                <w:sz w:val="24"/>
                <w:szCs w:val="24"/>
              </w:rPr>
              <w:t>□</w:t>
            </w:r>
            <w:r>
              <w:rPr>
                <w:rFonts w:ascii="Times New Roman" w:hAnsi="Times New Roman" w:cs="Times New Roman"/>
                <w:color w:val="000000"/>
                <w:kern w:val="0"/>
                <w:sz w:val="24"/>
                <w:szCs w:val="24"/>
              </w:rPr>
              <w:t xml:space="preserve">IWRS等系统随机（随机页面或反馈邮件需打印存档） </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 xml:space="preserve">根据随机表进行发放                                                                                    </w:t>
            </w:r>
            <w:r>
              <w:rPr>
                <w:rFonts w:hint="eastAsia" w:ascii="仿宋" w:hAnsi="仿宋" w:eastAsia="仿宋"/>
                <w:sz w:val="24"/>
                <w:szCs w:val="24"/>
              </w:rPr>
              <w:t>□</w:t>
            </w:r>
            <w:r>
              <w:rPr>
                <w:rFonts w:ascii="Times New Roman" w:hAnsi="Times New Roman" w:cs="Times New Roman"/>
                <w:color w:val="000000"/>
                <w:kern w:val="0"/>
                <w:sz w:val="24"/>
                <w:szCs w:val="24"/>
              </w:rPr>
              <w:t>随机信封/随机卡片</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其他情况</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1380"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p>
        </w:tc>
        <w:tc>
          <w:tcPr>
            <w:tcW w:w="11780" w:type="dxa"/>
            <w:tcBorders>
              <w:top w:val="single" w:color="auto" w:sz="4" w:space="0"/>
              <w:left w:val="single" w:color="auto" w:sz="4" w:space="0"/>
              <w:bottom w:val="single" w:color="auto" w:sz="4" w:space="0"/>
              <w:right w:val="nil"/>
            </w:tcBorders>
            <w:noWrap/>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试验用药品发放日程（根据试验流程图以表格形式简要概括访视周期、发放药品、发放数量等）：</w:t>
            </w:r>
          </w:p>
          <w:p>
            <w:pPr>
              <w:widowControl/>
              <w:spacing w:line="360" w:lineRule="auto"/>
              <w:jc w:val="left"/>
              <w:rPr>
                <w:rFonts w:ascii="Times New Roman" w:hAnsi="Times New Roman" w:cs="Times New Roman"/>
                <w:color w:val="000000"/>
                <w:kern w:val="0"/>
                <w:sz w:val="24"/>
                <w:szCs w:val="24"/>
              </w:rPr>
            </w:pPr>
          </w:p>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如为生存随访发药请备注每例受试者1年的发放次数</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1196"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w:t>
            </w:r>
          </w:p>
        </w:tc>
        <w:tc>
          <w:tcPr>
            <w:tcW w:w="11780" w:type="dxa"/>
            <w:tcBorders>
              <w:top w:val="single" w:color="auto" w:sz="4" w:space="0"/>
              <w:left w:val="single" w:color="auto" w:sz="4" w:space="0"/>
              <w:bottom w:val="single" w:color="auto" w:sz="4" w:space="0"/>
              <w:right w:val="nil"/>
            </w:tcBorders>
            <w:noWrap/>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用法用量及注意事项（简明扼要）：</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594"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13</w:t>
            </w:r>
          </w:p>
        </w:tc>
        <w:tc>
          <w:tcPr>
            <w:tcW w:w="11780" w:type="dxa"/>
            <w:tcBorders>
              <w:top w:val="single" w:color="auto" w:sz="4" w:space="0"/>
              <w:left w:val="single" w:color="auto" w:sz="4" w:space="0"/>
              <w:bottom w:val="single" w:color="auto" w:sz="4" w:space="0"/>
              <w:right w:val="nil"/>
            </w:tcBorders>
            <w:noWrap/>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包装副标签是否保留：        </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 xml:space="preserve">是（请提供副标签粘贴用表，表头包括以下信息：方案编号、中心名称、中心编号、PI、受试者编号（筛选号和/或随机号）等）        </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 xml:space="preserve">否                     </w:t>
            </w:r>
            <w:r>
              <w:rPr>
                <w:rFonts w:hint="eastAsia" w:ascii="仿宋" w:hAnsi="仿宋" w:eastAsia="仿宋"/>
                <w:sz w:val="24"/>
                <w:szCs w:val="24"/>
              </w:rPr>
              <w:t>□</w:t>
            </w:r>
            <w:r>
              <w:rPr>
                <w:rFonts w:ascii="Times New Roman" w:hAnsi="Times New Roman" w:cs="Times New Roman"/>
                <w:color w:val="000000"/>
                <w:kern w:val="0"/>
                <w:sz w:val="24"/>
                <w:szCs w:val="24"/>
              </w:rPr>
              <w:t>不适用</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855"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w:t>
            </w:r>
          </w:p>
        </w:tc>
        <w:tc>
          <w:tcPr>
            <w:tcW w:w="11780" w:type="dxa"/>
            <w:tcBorders>
              <w:top w:val="single" w:color="auto" w:sz="4" w:space="0"/>
              <w:left w:val="single" w:color="auto" w:sz="4" w:space="0"/>
              <w:bottom w:val="single" w:color="auto" w:sz="4" w:space="0"/>
              <w:right w:val="nil"/>
            </w:tcBorders>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库存不足时，药品补给方式：                                                                                                                                                                                              </w:t>
            </w:r>
            <w:r>
              <w:rPr>
                <w:rFonts w:hint="eastAsia" w:ascii="仿宋" w:hAnsi="仿宋" w:eastAsia="仿宋"/>
                <w:sz w:val="24"/>
                <w:szCs w:val="24"/>
              </w:rPr>
              <w:t>□</w:t>
            </w:r>
            <w:r>
              <w:rPr>
                <w:rFonts w:ascii="Times New Roman" w:hAnsi="Times New Roman" w:cs="Times New Roman"/>
                <w:color w:val="000000"/>
                <w:kern w:val="0"/>
                <w:sz w:val="24"/>
                <w:szCs w:val="24"/>
              </w:rPr>
              <w:t xml:space="preserve">中心药房药品管理人员电话/系统申请     </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 xml:space="preserve">申办方根据中心库存情况自动发放       </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通知CRA/CRC，由CRA/CRC申请</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1290"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w:t>
            </w:r>
          </w:p>
        </w:tc>
        <w:tc>
          <w:tcPr>
            <w:tcW w:w="11780" w:type="dxa"/>
            <w:tcBorders>
              <w:top w:val="single" w:color="auto" w:sz="4" w:space="0"/>
              <w:left w:val="single" w:color="auto" w:sz="4" w:space="0"/>
              <w:bottom w:val="single" w:color="auto" w:sz="4" w:space="0"/>
              <w:right w:val="single" w:color="auto" w:sz="4" w:space="0"/>
            </w:tcBorders>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试验用药品回收：                                                                                                                                                               回收内容：</w:t>
            </w:r>
          </w:p>
          <w:p>
            <w:pPr>
              <w:widowControl/>
              <w:spacing w:line="360" w:lineRule="auto"/>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所有已用空包装，包括空盒、空板、空袋、空安瓿等（如有无需回收的空包装请备注）</w:t>
            </w:r>
          </w:p>
          <w:p>
            <w:pPr>
              <w:widowControl/>
              <w:spacing w:line="360" w:lineRule="auto"/>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已发放的未用药品</w:t>
            </w:r>
          </w:p>
          <w:p>
            <w:pPr>
              <w:widowControl/>
              <w:spacing w:line="360" w:lineRule="auto"/>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不适用</w:t>
            </w:r>
          </w:p>
          <w:p>
            <w:pPr>
              <w:widowControl/>
              <w:spacing w:line="36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剩余量统计（适用于注射剂）：</w:t>
            </w:r>
            <w:r>
              <w:rPr>
                <w:rFonts w:hint="eastAsia" w:ascii="仿宋" w:hAnsi="仿宋" w:eastAsia="仿宋"/>
                <w:sz w:val="24"/>
                <w:szCs w:val="24"/>
              </w:rPr>
              <w:t>□</w:t>
            </w:r>
            <w:r>
              <w:rPr>
                <w:rFonts w:ascii="Times New Roman" w:hAnsi="Times New Roman" w:cs="Times New Roman"/>
                <w:color w:val="000000"/>
                <w:kern w:val="0"/>
                <w:sz w:val="24"/>
                <w:szCs w:val="24"/>
              </w:rPr>
              <w:t xml:space="preserve">需要      </w:t>
            </w:r>
            <w:r>
              <w:rPr>
                <w:rFonts w:hint="eastAsia" w:ascii="仿宋" w:hAnsi="仿宋" w:eastAsia="仿宋"/>
                <w:sz w:val="24"/>
                <w:szCs w:val="24"/>
              </w:rPr>
              <w:t>□</w:t>
            </w:r>
            <w:r>
              <w:rPr>
                <w:rFonts w:ascii="Times New Roman" w:hAnsi="Times New Roman" w:cs="Times New Roman"/>
                <w:color w:val="000000"/>
                <w:kern w:val="0"/>
                <w:sz w:val="24"/>
                <w:szCs w:val="24"/>
              </w:rPr>
              <w:t xml:space="preserve">不需要       </w:t>
            </w:r>
            <w:r>
              <w:rPr>
                <w:rFonts w:hint="eastAsia" w:ascii="仿宋" w:hAnsi="仿宋" w:eastAsia="仿宋"/>
                <w:sz w:val="24"/>
                <w:szCs w:val="24"/>
              </w:rPr>
              <w:t>□</w:t>
            </w:r>
            <w:r>
              <w:rPr>
                <w:rFonts w:ascii="Times New Roman" w:hAnsi="Times New Roman" w:cs="Times New Roman"/>
                <w:color w:val="000000"/>
                <w:kern w:val="0"/>
                <w:sz w:val="24"/>
                <w:szCs w:val="24"/>
              </w:rPr>
              <w:t>不适用</w:t>
            </w:r>
            <w:r>
              <w:rPr>
                <w:rFonts w:ascii="Times New Roman" w:hAnsi="Times New Roman" w:cs="Times New Roman"/>
                <w:color w:val="FFFFFF"/>
                <w:kern w:val="0"/>
                <w:sz w:val="24"/>
                <w:szCs w:val="24"/>
              </w:rPr>
              <w:t>是</w:t>
            </w:r>
            <w:r>
              <w:rPr>
                <w:rFonts w:ascii="Times New Roman" w:hAnsi="Times New Roman" w:cs="Times New Roman"/>
                <w:color w:val="000000"/>
                <w:kern w:val="0"/>
                <w:sz w:val="24"/>
                <w:szCs w:val="24"/>
              </w:rPr>
              <w:t xml:space="preserve">                                                                                                                                                                                      </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400"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16</w:t>
            </w:r>
          </w:p>
        </w:tc>
        <w:tc>
          <w:tcPr>
            <w:tcW w:w="117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未用冷藏药品回收后是否需要冷藏（2-8</w:t>
            </w:r>
            <w:r>
              <w:rPr>
                <w:rFonts w:hint="eastAsia" w:ascii="宋体" w:hAnsi="宋体" w:eastAsia="宋体" w:cs="宋体"/>
                <w:color w:val="000000"/>
                <w:kern w:val="0"/>
                <w:sz w:val="24"/>
                <w:szCs w:val="24"/>
              </w:rPr>
              <w:t>℃</w:t>
            </w:r>
            <w:r>
              <w:rPr>
                <w:rFonts w:ascii="Times New Roman" w:hAnsi="Times New Roman" w:cs="Times New Roman"/>
                <w:color w:val="000000"/>
                <w:kern w:val="0"/>
                <w:sz w:val="24"/>
                <w:szCs w:val="24"/>
              </w:rPr>
              <w:t xml:space="preserve"> ） </w:t>
            </w:r>
            <w:r>
              <w:rPr>
                <w:rFonts w:hint="eastAsia" w:ascii="仿宋" w:hAnsi="仿宋" w:eastAsia="仿宋"/>
                <w:sz w:val="24"/>
                <w:szCs w:val="24"/>
              </w:rPr>
              <w:t>□</w:t>
            </w:r>
            <w:r>
              <w:rPr>
                <w:rFonts w:ascii="Times New Roman" w:hAnsi="Times New Roman" w:cs="Times New Roman"/>
                <w:color w:val="000000"/>
                <w:kern w:val="0"/>
                <w:sz w:val="24"/>
                <w:szCs w:val="24"/>
              </w:rPr>
              <w:t xml:space="preserve">需要       </w:t>
            </w:r>
            <w:r>
              <w:rPr>
                <w:rFonts w:hint="eastAsia" w:ascii="仿宋" w:hAnsi="仿宋" w:eastAsia="仿宋"/>
                <w:sz w:val="24"/>
                <w:szCs w:val="24"/>
              </w:rPr>
              <w:t>□</w:t>
            </w:r>
            <w:r>
              <w:rPr>
                <w:rFonts w:ascii="Times New Roman" w:hAnsi="Times New Roman" w:cs="Times New Roman"/>
                <w:color w:val="000000"/>
                <w:kern w:val="0"/>
                <w:sz w:val="24"/>
                <w:szCs w:val="24"/>
              </w:rPr>
              <w:t xml:space="preserve">不需要      </w:t>
            </w:r>
            <w:r>
              <w:rPr>
                <w:rFonts w:hint="eastAsia" w:ascii="仿宋" w:hAnsi="仿宋" w:eastAsia="仿宋"/>
                <w:sz w:val="24"/>
                <w:szCs w:val="24"/>
              </w:rPr>
              <w:t>□</w:t>
            </w:r>
            <w:r>
              <w:rPr>
                <w:rFonts w:ascii="Times New Roman" w:hAnsi="Times New Roman" w:cs="Times New Roman"/>
                <w:color w:val="000000"/>
                <w:kern w:val="0"/>
                <w:sz w:val="24"/>
                <w:szCs w:val="24"/>
              </w:rPr>
              <w:t>不适用</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523"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17</w:t>
            </w:r>
          </w:p>
        </w:tc>
        <w:tc>
          <w:tcPr>
            <w:tcW w:w="117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药品销毁（如涉及多个地点销毁的情况，请详细备注销毁内容；如需科室或中心药房销毁，请提供“委托函”）：</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 xml:space="preserve">申办方              </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 xml:space="preserve">科室                 </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中心药房</w:t>
            </w:r>
          </w:p>
        </w:tc>
        <w:tc>
          <w:tcPr>
            <w:tcW w:w="256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690"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18</w:t>
            </w:r>
          </w:p>
        </w:tc>
        <w:tc>
          <w:tcPr>
            <w:tcW w:w="11780" w:type="dxa"/>
            <w:tcBorders>
              <w:top w:val="single" w:color="auto" w:sz="4" w:space="0"/>
              <w:left w:val="single" w:color="auto" w:sz="4" w:space="0"/>
              <w:bottom w:val="nil"/>
              <w:right w:val="single" w:color="auto" w:sz="4" w:space="0"/>
            </w:tcBorders>
            <w:noWrap/>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试验用药品是否需要留样：  </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 xml:space="preserve">需要（如需要，请提供留样药品管理手册）                           </w:t>
            </w:r>
            <w:r>
              <w:rPr>
                <w:rFonts w:hint="eastAsia" w:ascii="仿宋" w:hAnsi="仿宋" w:eastAsia="仿宋"/>
                <w:sz w:val="24"/>
                <w:szCs w:val="24"/>
              </w:rPr>
              <w:t>□</w:t>
            </w:r>
            <w:r>
              <w:rPr>
                <w:rFonts w:ascii="Times New Roman" w:hAnsi="Times New Roman" w:cs="Times New Roman"/>
                <w:color w:val="000000"/>
                <w:kern w:val="0"/>
                <w:sz w:val="24"/>
                <w:szCs w:val="24"/>
              </w:rPr>
              <w:t>不需要</w:t>
            </w:r>
          </w:p>
        </w:tc>
        <w:tc>
          <w:tcPr>
            <w:tcW w:w="2560" w:type="dxa"/>
            <w:tcBorders>
              <w:top w:val="single" w:color="auto" w:sz="4" w:space="0"/>
              <w:left w:val="single" w:color="auto" w:sz="4" w:space="0"/>
              <w:bottom w:val="nil"/>
              <w:right w:val="single" w:color="auto" w:sz="4" w:space="0"/>
            </w:tcBorders>
            <w:noWrap/>
            <w:vAlign w:val="bottom"/>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1273"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w:t>
            </w:r>
          </w:p>
        </w:tc>
        <w:tc>
          <w:tcPr>
            <w:tcW w:w="117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项目CRC信息：</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 xml:space="preserve">有（ 姓名：         手机：             邮箱：                  公司：                   ）   </w:t>
            </w:r>
          </w:p>
          <w:p>
            <w:pPr>
              <w:widowControl/>
              <w:spacing w:line="360" w:lineRule="auto"/>
              <w:jc w:val="left"/>
              <w:rPr>
                <w:rFonts w:ascii="Times New Roman" w:hAnsi="Times New Roman" w:cs="Times New Roman"/>
                <w:color w:val="000000"/>
                <w:kern w:val="0"/>
                <w:sz w:val="24"/>
                <w:szCs w:val="24"/>
              </w:rPr>
            </w:pPr>
            <w:r>
              <w:rPr>
                <w:rFonts w:hint="eastAsia" w:ascii="仿宋" w:hAnsi="仿宋" w:eastAsia="仿宋"/>
                <w:sz w:val="24"/>
                <w:szCs w:val="24"/>
              </w:rPr>
              <w:t>□</w:t>
            </w:r>
            <w:r>
              <w:rPr>
                <w:rFonts w:ascii="Times New Roman" w:hAnsi="Times New Roman" w:cs="Times New Roman"/>
                <w:color w:val="000000"/>
                <w:kern w:val="0"/>
                <w:sz w:val="24"/>
                <w:szCs w:val="24"/>
              </w:rPr>
              <w:t>无</w:t>
            </w:r>
          </w:p>
        </w:tc>
        <w:tc>
          <w:tcPr>
            <w:tcW w:w="256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cs="Times New Roman"/>
                <w:color w:val="000000"/>
                <w:kern w:val="0"/>
                <w:sz w:val="24"/>
                <w:szCs w:val="24"/>
              </w:rPr>
            </w:pPr>
          </w:p>
        </w:tc>
      </w:tr>
      <w:tr>
        <w:tblPrEx>
          <w:tblCellMar>
            <w:top w:w="15" w:type="dxa"/>
            <w:left w:w="108" w:type="dxa"/>
            <w:bottom w:w="15" w:type="dxa"/>
            <w:right w:w="108" w:type="dxa"/>
          </w:tblCellMar>
        </w:tblPrEx>
        <w:trPr>
          <w:trHeight w:val="812" w:hRule="atLeast"/>
          <w:jc w:val="center"/>
        </w:trPr>
        <w:tc>
          <w:tcPr>
            <w:tcW w:w="11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20</w:t>
            </w:r>
          </w:p>
        </w:tc>
        <w:tc>
          <w:tcPr>
            <w:tcW w:w="1434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CRA联系方式：</w:t>
            </w:r>
          </w:p>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姓名：               手机：                    邮箱:                         公司：</w:t>
            </w:r>
          </w:p>
        </w:tc>
      </w:tr>
    </w:tbl>
    <w:p>
      <w:pPr>
        <w:spacing w:line="276" w:lineRule="auto"/>
        <w:rPr>
          <w:rFonts w:ascii="仿宋" w:hAnsi="仿宋" w:eastAsia="仿宋"/>
          <w:sz w:val="24"/>
          <w:szCs w:val="24"/>
        </w:rPr>
      </w:pPr>
      <w:r>
        <w:rPr>
          <w:rFonts w:hint="eastAsia" w:ascii="仿宋" w:hAnsi="仿宋" w:eastAsia="仿宋"/>
          <w:sz w:val="24"/>
          <w:szCs w:val="24"/>
        </w:rPr>
        <w:t>填写注意事项：</w:t>
      </w:r>
    </w:p>
    <w:p>
      <w:pPr>
        <w:pStyle w:val="12"/>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 xml:space="preserve">“试验编号”：包括“临床试验立项受理通知”中的“试验编号”信息及“伦理受理号”； 二者以“/”隔开；  </w:t>
      </w:r>
    </w:p>
    <w:p>
      <w:pPr>
        <w:pStyle w:val="12"/>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所有涉及的“□”请打“×”或者标注为“▇”；</w:t>
      </w:r>
    </w:p>
    <w:p>
      <w:pPr>
        <w:pStyle w:val="12"/>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选项如不适用请填写“NA” ；</w:t>
      </w:r>
    </w:p>
    <w:p>
      <w:pPr>
        <w:pStyle w:val="12"/>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有任何特殊情况，可在相应的备注栏注明；</w:t>
      </w:r>
    </w:p>
    <w:p>
      <w:pPr>
        <w:pStyle w:val="12"/>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表格填写完整后请填写人签字签日期，并与试验用药品管理文件夹一起递交至中心药房。</w:t>
      </w:r>
    </w:p>
    <w:p>
      <w:pPr>
        <w:spacing w:before="156" w:beforeLines="50" w:line="440" w:lineRule="exact"/>
        <w:rPr>
          <w:rFonts w:ascii="仿宋" w:hAnsi="仿宋" w:eastAsia="仿宋"/>
          <w:sz w:val="24"/>
          <w:szCs w:val="24"/>
        </w:rPr>
      </w:pPr>
      <w:r>
        <w:rPr>
          <w:rFonts w:hint="eastAsia" w:ascii="仿宋" w:hAnsi="仿宋" w:eastAsia="仿宋"/>
          <w:sz w:val="24"/>
          <w:szCs w:val="24"/>
        </w:rPr>
        <w:t>填写人签字（申办方/</w:t>
      </w:r>
      <w:r>
        <w:rPr>
          <w:rFonts w:ascii="仿宋" w:hAnsi="仿宋" w:eastAsia="仿宋"/>
          <w:sz w:val="24"/>
          <w:szCs w:val="24"/>
        </w:rPr>
        <w:t>CRO</w:t>
      </w:r>
      <w:r>
        <w:rPr>
          <w:rFonts w:hint="eastAsia" w:ascii="仿宋" w:hAnsi="仿宋" w:eastAsia="仿宋"/>
          <w:sz w:val="24"/>
          <w:szCs w:val="24"/>
        </w:rPr>
        <w:t xml:space="preserve">公司）：                   </w:t>
      </w:r>
      <w:r>
        <w:rPr>
          <w:rFonts w:ascii="仿宋" w:hAnsi="仿宋" w:eastAsia="仿宋"/>
          <w:sz w:val="24"/>
          <w:szCs w:val="24"/>
        </w:rPr>
        <w:t xml:space="preserve">         </w:t>
      </w:r>
      <w:r>
        <w:rPr>
          <w:rFonts w:hint="eastAsia" w:ascii="仿宋" w:hAnsi="仿宋" w:eastAsia="仿宋"/>
          <w:sz w:val="24"/>
          <w:szCs w:val="24"/>
        </w:rPr>
        <w:t>日期：</w:t>
      </w:r>
    </w:p>
    <w:p>
      <w:pPr>
        <w:spacing w:before="156" w:beforeLines="50" w:line="440" w:lineRule="exact"/>
        <w:rPr>
          <w:rFonts w:ascii="仿宋" w:hAnsi="仿宋" w:eastAsia="仿宋"/>
          <w:sz w:val="24"/>
          <w:szCs w:val="24"/>
        </w:rPr>
      </w:pPr>
      <w:r>
        <w:rPr>
          <w:rFonts w:hint="eastAsia" w:ascii="仿宋" w:hAnsi="仿宋" w:eastAsia="仿宋"/>
          <w:sz w:val="24"/>
          <w:szCs w:val="24"/>
        </w:rPr>
        <w:t xml:space="preserve">确认人签字（药物临床试验机构中心药房）：          </w:t>
      </w:r>
      <w:r>
        <w:rPr>
          <w:rFonts w:ascii="仿宋" w:hAnsi="仿宋" w:eastAsia="仿宋"/>
          <w:sz w:val="24"/>
          <w:szCs w:val="24"/>
        </w:rPr>
        <w:t xml:space="preserve">        </w:t>
      </w:r>
      <w:r>
        <w:rPr>
          <w:rFonts w:hint="eastAsia" w:ascii="仿宋" w:hAnsi="仿宋" w:eastAsia="仿宋"/>
          <w:sz w:val="24"/>
          <w:szCs w:val="24"/>
          <w:lang w:val="en-US" w:eastAsia="zh-CN"/>
        </w:rPr>
        <w:t xml:space="preserve"> </w:t>
      </w:r>
      <w:r>
        <w:rPr>
          <w:rFonts w:hint="eastAsia" w:ascii="仿宋" w:hAnsi="仿宋" w:eastAsia="仿宋"/>
          <w:sz w:val="24"/>
          <w:szCs w:val="24"/>
        </w:rPr>
        <w:t>日期：</w:t>
      </w:r>
    </w:p>
    <w:sectPr>
      <w:headerReference r:id="rId3" w:type="default"/>
      <w:footerReference r:id="rId4" w:type="default"/>
      <w:pgSz w:w="16838" w:h="11906" w:orient="landscape"/>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 </w:t>
                          </w:r>
                          <w:r>
                            <w:rPr>
                              <w:rFonts w:hint="default" w:ascii="Times New Roman" w:hAnsi="Times New Roman" w:cs="Times New Roman"/>
                            </w:rPr>
                            <w:fldChar w:fldCharType="begin"/>
                          </w:r>
                          <w:r>
                            <w:rPr>
                              <w:rFonts w:hint="default" w:ascii="Times New Roman" w:hAnsi="Times New Roman" w:cs="Times New Roman"/>
                            </w:rPr>
                            <w:instrText xml:space="preserve"> NUMPAGES  \* MERGEFORMAT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 </w:t>
                    </w:r>
                    <w:r>
                      <w:rPr>
                        <w:rFonts w:hint="default" w:ascii="Times New Roman" w:hAnsi="Times New Roman" w:cs="Times New Roman"/>
                      </w:rPr>
                      <w:fldChar w:fldCharType="begin"/>
                    </w:r>
                    <w:r>
                      <w:rPr>
                        <w:rFonts w:hint="default" w:ascii="Times New Roman" w:hAnsi="Times New Roman" w:cs="Times New Roman"/>
                      </w:rPr>
                      <w:instrText xml:space="preserve"> NUMPAGES  \* MERGEFORMAT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Times New Roman" w:hAnsi="Times New Roman"/>
        <w:sz w:val="18"/>
        <w:lang w:val="en-US" w:eastAsia="zh-CN"/>
      </w:rPr>
    </w:pPr>
    <w:r>
      <w:rPr>
        <w:rFonts w:hint="eastAsia" w:ascii="黑体" w:hAnsi="黑体" w:eastAsia="黑体" w:cs="黑体"/>
        <w:sz w:val="15"/>
        <w:szCs w:val="21"/>
      </w:rPr>
      <w:t>浙江大学医学院附属精神卫生中心</w:t>
    </w:r>
    <w:r>
      <w:rPr>
        <w:rFonts w:hint="eastAsia" w:ascii="黑体" w:hAnsi="黑体" w:eastAsia="黑体" w:cs="黑体"/>
        <w:sz w:val="15"/>
        <w:szCs w:val="21"/>
        <w:lang w:val="en-US" w:eastAsia="zh-CN"/>
      </w:rPr>
      <w:t xml:space="preserve">                                                                                                                                                </w:t>
    </w:r>
    <w:r>
      <w:rPr>
        <w:rFonts w:hint="eastAsia" w:ascii="Times New Roman" w:hAnsi="Times New Roman"/>
        <w:sz w:val="18"/>
        <w:lang w:val="en-US" w:eastAsia="zh-CN"/>
      </w:rPr>
      <w:t>JG-ADM-017-AF02</w:t>
    </w:r>
    <w:bookmarkStart w:id="0" w:name="_GoBack"/>
    <w:bookmarkEnd w:id="0"/>
  </w:p>
  <w:p>
    <w:pPr>
      <w:pStyle w:val="3"/>
      <w:pBdr>
        <w:bottom w:val="single" w:color="auto" w:sz="4" w:space="1"/>
      </w:pBdr>
      <w:jc w:val="left"/>
      <w:rPr>
        <w:rFonts w:hint="default" w:ascii="Times New Roman" w:hAnsi="Times New Roman" w:eastAsiaTheme="minorEastAsia"/>
        <w:sz w:val="18"/>
        <w:lang w:val="en-US" w:eastAsia="zh-CN"/>
      </w:rPr>
    </w:pPr>
    <w:r>
      <w:rPr>
        <w:rFonts w:hint="eastAsia" w:ascii="黑体" w:hAnsi="黑体" w:eastAsia="黑体" w:cs="黑体"/>
        <w:sz w:val="15"/>
        <w:szCs w:val="21"/>
      </w:rPr>
      <w:t>杭州市第七人民医院药物临床试验</w:t>
    </w:r>
    <w:r>
      <w:rPr>
        <w:rFonts w:hint="eastAsia" w:ascii="黑体" w:hAnsi="黑体" w:eastAsia="黑体" w:cs="黑体"/>
        <w:sz w:val="15"/>
        <w:szCs w:val="21"/>
        <w:lang w:val="en-US" w:eastAsia="zh-CN"/>
      </w:rPr>
      <w:t xml:space="preserve">                                                                                                                                          </w:t>
    </w:r>
    <w:r>
      <w:rPr>
        <w:rFonts w:hint="eastAsia"/>
        <w:lang w:val="en-US" w:eastAsia="zh-CN"/>
      </w:rPr>
      <w:t xml:space="preserve"> </w:t>
    </w:r>
    <w:r>
      <w:rPr>
        <w:rFonts w:ascii="Times New Roman" w:hAnsi="Times New Roman"/>
        <w:sz w:val="18"/>
      </w:rPr>
      <w:t xml:space="preserve"> </w:t>
    </w:r>
    <w:r>
      <w:rPr>
        <w:rFonts w:hint="eastAsia" w:ascii="Times New Roman" w:hAnsi="Times New Roman"/>
        <w:sz w:val="18"/>
        <w:lang w:val="en-US" w:eastAsia="zh-CN"/>
      </w:rPr>
      <w:t>V1.0,2023年4月17日</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E07010"/>
    <w:multiLevelType w:val="multilevel"/>
    <w:tmpl w:val="18E070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jMGJlMGM2NDE0NzJjZDllNzA4M2ZkNGM0Mzk3MDcifQ=="/>
  </w:docVars>
  <w:rsids>
    <w:rsidRoot w:val="00E87BF7"/>
    <w:rsid w:val="00046943"/>
    <w:rsid w:val="000712F8"/>
    <w:rsid w:val="000D5185"/>
    <w:rsid w:val="00122789"/>
    <w:rsid w:val="00134E79"/>
    <w:rsid w:val="00150676"/>
    <w:rsid w:val="00171665"/>
    <w:rsid w:val="001819A2"/>
    <w:rsid w:val="001D4118"/>
    <w:rsid w:val="00244E70"/>
    <w:rsid w:val="002D15C7"/>
    <w:rsid w:val="002E005B"/>
    <w:rsid w:val="002F32E6"/>
    <w:rsid w:val="003E36FB"/>
    <w:rsid w:val="00402F71"/>
    <w:rsid w:val="00431A16"/>
    <w:rsid w:val="004E185A"/>
    <w:rsid w:val="005607FC"/>
    <w:rsid w:val="006251FC"/>
    <w:rsid w:val="00673588"/>
    <w:rsid w:val="006B7342"/>
    <w:rsid w:val="006D7775"/>
    <w:rsid w:val="00713C14"/>
    <w:rsid w:val="00773F96"/>
    <w:rsid w:val="007A1B56"/>
    <w:rsid w:val="007E07B3"/>
    <w:rsid w:val="00820D80"/>
    <w:rsid w:val="00835AE0"/>
    <w:rsid w:val="008C4F2E"/>
    <w:rsid w:val="009A3D3C"/>
    <w:rsid w:val="009F06BD"/>
    <w:rsid w:val="009F4CD2"/>
    <w:rsid w:val="009F7A52"/>
    <w:rsid w:val="00A20B47"/>
    <w:rsid w:val="00A32C02"/>
    <w:rsid w:val="00A76FEE"/>
    <w:rsid w:val="00B22770"/>
    <w:rsid w:val="00B36DE5"/>
    <w:rsid w:val="00B37899"/>
    <w:rsid w:val="00B41C5C"/>
    <w:rsid w:val="00BA2528"/>
    <w:rsid w:val="00D31C89"/>
    <w:rsid w:val="00D4332B"/>
    <w:rsid w:val="00DE4883"/>
    <w:rsid w:val="00E66ACD"/>
    <w:rsid w:val="00E87BF7"/>
    <w:rsid w:val="00E93B90"/>
    <w:rsid w:val="00EB2D2A"/>
    <w:rsid w:val="00EB7BDD"/>
    <w:rsid w:val="00F604F9"/>
    <w:rsid w:val="00F8410B"/>
    <w:rsid w:val="00FA75F9"/>
    <w:rsid w:val="00FB7CC9"/>
    <w:rsid w:val="0FA7589A"/>
    <w:rsid w:val="2A090464"/>
    <w:rsid w:val="3A837CAD"/>
    <w:rsid w:val="49DE1945"/>
    <w:rsid w:val="531D79C5"/>
    <w:rsid w:val="537A624B"/>
    <w:rsid w:val="62E55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character" w:customStyle="1" w:styleId="9">
    <w:name w:val="font61"/>
    <w:basedOn w:val="6"/>
    <w:qFormat/>
    <w:uiPriority w:val="0"/>
    <w:rPr>
      <w:rFonts w:hint="eastAsia" w:ascii="宋体" w:hAnsi="宋体" w:eastAsia="宋体"/>
      <w:color w:val="000000"/>
      <w:sz w:val="24"/>
      <w:szCs w:val="24"/>
      <w:u w:val="none"/>
    </w:rPr>
  </w:style>
  <w:style w:type="character" w:customStyle="1" w:styleId="10">
    <w:name w:val="font101"/>
    <w:basedOn w:val="6"/>
    <w:qFormat/>
    <w:uiPriority w:val="0"/>
    <w:rPr>
      <w:rFonts w:hint="default" w:ascii="Times New Roman" w:hAnsi="Times New Roman" w:cs="Times New Roman"/>
      <w:color w:val="000000"/>
      <w:sz w:val="24"/>
      <w:szCs w:val="24"/>
      <w:u w:val="none"/>
    </w:rPr>
  </w:style>
  <w:style w:type="character" w:customStyle="1" w:styleId="11">
    <w:name w:val="font71"/>
    <w:basedOn w:val="6"/>
    <w:qFormat/>
    <w:uiPriority w:val="0"/>
    <w:rPr>
      <w:rFonts w:hint="eastAsia" w:ascii="宋体" w:hAnsi="宋体" w:eastAsia="宋体"/>
      <w:color w:val="FFFFFF"/>
      <w:sz w:val="24"/>
      <w:szCs w:val="24"/>
      <w:u w:val="none"/>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904970-6374-49A8-841A-3BF9F079DEA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1158</Words>
  <Characters>1203</Characters>
  <Lines>23</Lines>
  <Paragraphs>6</Paragraphs>
  <TotalTime>0</TotalTime>
  <ScaleCrop>false</ScaleCrop>
  <LinksUpToDate>false</LinksUpToDate>
  <CharactersWithSpaces>3210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2017-07-17T05:40:00Z</dcterms:created>
  <dc:creator>张晓婷</dc:creator>
  <cp:lastModifiedBy>乐乐</cp:lastModifiedBy>
  <cp:lastPrinted>2017-07-17T08:22:00Z</cp:lastPrinted>
  <dcterms:modified xsi:type="dcterms:W3CDTF">2023-10-23T02:17:32Z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B0F21E0E02C947E881892A9591D32E31</vt:lpwstr>
  </property>
</Properties>
</file>