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p>
    <w:p>
      <w:pPr>
        <w:adjustRightInd/>
        <w:spacing w:line="360" w:lineRule="auto"/>
        <w:jc w:val="center"/>
        <w:rPr>
          <w:rFonts w:ascii="宋体" w:hAnsi="宋体" w:cs="宋体"/>
          <w:b/>
          <w:color w:val="auto"/>
          <w:sz w:val="44"/>
          <w:szCs w:val="44"/>
          <w:highlight w:val="none"/>
        </w:rPr>
      </w:pPr>
    </w:p>
    <w:p>
      <w:pPr>
        <w:spacing w:line="360" w:lineRule="auto"/>
        <w:jc w:val="center"/>
        <w:rPr>
          <w:rFonts w:ascii="宋体" w:hAnsi="宋体" w:cs="宋体"/>
          <w:b/>
          <w:color w:val="auto"/>
          <w:sz w:val="44"/>
          <w:szCs w:val="44"/>
          <w:highlight w:val="none"/>
        </w:rPr>
      </w:pPr>
    </w:p>
    <w:p>
      <w:pPr>
        <w:adjustRightInd/>
        <w:spacing w:line="360" w:lineRule="auto"/>
        <w:jc w:val="center"/>
        <w:rPr>
          <w:rFonts w:ascii="宋体" w:hAnsi="宋体" w:cs="宋体"/>
          <w:b/>
          <w:color w:val="auto"/>
          <w:sz w:val="48"/>
          <w:szCs w:val="48"/>
          <w:highlight w:val="none"/>
        </w:rPr>
      </w:pPr>
    </w:p>
    <w:p>
      <w:pPr>
        <w:adjustRightInd/>
        <w:spacing w:line="360" w:lineRule="auto"/>
        <w:jc w:val="center"/>
        <w:rPr>
          <w:rFonts w:ascii="宋体" w:hAnsi="宋体" w:cs="宋体"/>
          <w:color w:val="auto"/>
          <w:sz w:val="48"/>
          <w:szCs w:val="48"/>
          <w:highlight w:val="none"/>
        </w:rPr>
      </w:pPr>
      <w:r>
        <w:rPr>
          <w:rFonts w:hint="eastAsia" w:ascii="宋体" w:hAnsi="宋体" w:cs="宋体"/>
          <w:color w:val="auto"/>
          <w:sz w:val="48"/>
          <w:szCs w:val="48"/>
          <w:highlight w:val="none"/>
        </w:rPr>
        <w:t>杭州市第七人民医院老年一科病区改造工程</w:t>
      </w:r>
    </w:p>
    <w:p>
      <w:pPr>
        <w:adjustRightInd/>
        <w:spacing w:line="360" w:lineRule="auto"/>
        <w:jc w:val="center"/>
        <w:rPr>
          <w:rFonts w:ascii="宋体" w:hAnsi="宋体" w:cs="宋体"/>
          <w:color w:val="auto"/>
          <w:sz w:val="48"/>
          <w:szCs w:val="48"/>
          <w:highlight w:val="none"/>
        </w:rPr>
      </w:pPr>
      <w:r>
        <w:rPr>
          <w:rFonts w:hint="eastAsia" w:ascii="宋体" w:hAnsi="宋体" w:cs="宋体"/>
          <w:color w:val="auto"/>
          <w:sz w:val="48"/>
          <w:szCs w:val="48"/>
          <w:highlight w:val="none"/>
        </w:rPr>
        <w:t>竞争性磋商文件</w:t>
      </w:r>
    </w:p>
    <w:p>
      <w:pPr>
        <w:adjustRightInd/>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（电子交易）</w:t>
      </w:r>
    </w:p>
    <w:p>
      <w:pPr>
        <w:snapToGrid w:val="0"/>
        <w:spacing w:line="360" w:lineRule="auto"/>
        <w:jc w:val="center"/>
        <w:rPr>
          <w:rFonts w:ascii="宋体" w:hAnsi="宋体" w:cs="宋体"/>
          <w:color w:val="auto"/>
          <w:sz w:val="30"/>
          <w:szCs w:val="30"/>
          <w:highlight w:val="none"/>
        </w:rPr>
      </w:pPr>
      <w:r>
        <w:rPr>
          <w:rFonts w:hint="eastAsia" w:ascii="宋体" w:hAnsi="宋体" w:cs="宋体"/>
          <w:color w:val="auto"/>
          <w:sz w:val="30"/>
          <w:szCs w:val="30"/>
          <w:highlight w:val="none"/>
        </w:rPr>
        <w:t>编号:[2023]18174号</w:t>
      </w:r>
    </w:p>
    <w:p>
      <w:pPr>
        <w:adjustRightInd/>
        <w:spacing w:line="360" w:lineRule="auto"/>
        <w:rPr>
          <w:rFonts w:ascii="宋体" w:hAnsi="宋体" w:cs="宋体"/>
          <w:color w:val="auto"/>
          <w:sz w:val="28"/>
          <w:szCs w:val="20"/>
          <w:highlight w:val="none"/>
        </w:rPr>
      </w:pPr>
    </w:p>
    <w:p>
      <w:pPr>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 xml:space="preserve"> </w:t>
      </w:r>
    </w:p>
    <w:p>
      <w:pPr>
        <w:spacing w:line="360" w:lineRule="auto"/>
        <w:jc w:val="center"/>
        <w:rPr>
          <w:rFonts w:ascii="宋体" w:hAnsi="宋体" w:cs="宋体"/>
          <w:b/>
          <w:color w:val="auto"/>
          <w:sz w:val="44"/>
          <w:szCs w:val="44"/>
          <w:highlight w:val="none"/>
        </w:rPr>
      </w:pPr>
    </w:p>
    <w:p>
      <w:pPr>
        <w:spacing w:line="360" w:lineRule="auto"/>
        <w:jc w:val="center"/>
        <w:rPr>
          <w:rFonts w:ascii="宋体" w:hAnsi="宋体" w:cs="宋体"/>
          <w:color w:val="auto"/>
          <w:sz w:val="24"/>
          <w:highlight w:val="none"/>
        </w:rPr>
      </w:pPr>
    </w:p>
    <w:p>
      <w:pPr>
        <w:spacing w:line="360" w:lineRule="auto"/>
        <w:jc w:val="center"/>
        <w:rPr>
          <w:rFonts w:ascii="宋体" w:hAnsi="宋体" w:cs="宋体"/>
          <w:color w:val="auto"/>
          <w:sz w:val="24"/>
          <w:highlight w:val="none"/>
        </w:rPr>
      </w:pPr>
    </w:p>
    <w:p>
      <w:pPr>
        <w:spacing w:line="360" w:lineRule="auto"/>
        <w:rPr>
          <w:rFonts w:ascii="宋体" w:hAnsi="宋体" w:cs="宋体"/>
          <w:color w:val="auto"/>
          <w:sz w:val="32"/>
          <w:szCs w:val="32"/>
          <w:highlight w:val="none"/>
        </w:rPr>
      </w:pPr>
    </w:p>
    <w:p>
      <w:pPr>
        <w:snapToGrid w:val="0"/>
        <w:spacing w:line="360" w:lineRule="auto"/>
        <w:jc w:val="center"/>
        <w:rPr>
          <w:rFonts w:ascii="宋体" w:hAnsi="宋体" w:cs="宋体"/>
          <w:color w:val="auto"/>
          <w:sz w:val="32"/>
          <w:szCs w:val="32"/>
          <w:highlight w:val="none"/>
        </w:rPr>
      </w:pPr>
      <w:r>
        <w:rPr>
          <w:rFonts w:hint="eastAsia" w:ascii="宋体" w:hAnsi="宋体" w:cs="宋体"/>
          <w:color w:val="auto"/>
          <w:sz w:val="32"/>
          <w:szCs w:val="32"/>
          <w:highlight w:val="none"/>
        </w:rPr>
        <w:t>杭州市第七人民医院</w:t>
      </w:r>
    </w:p>
    <w:p>
      <w:pPr>
        <w:spacing w:line="360" w:lineRule="auto"/>
        <w:jc w:val="center"/>
        <w:rPr>
          <w:rFonts w:ascii="宋体" w:hAnsi="宋体" w:cs="宋体"/>
          <w:bCs/>
          <w:color w:val="auto"/>
          <w:sz w:val="32"/>
          <w:szCs w:val="32"/>
          <w:highlight w:val="none"/>
        </w:rPr>
      </w:pPr>
      <w:r>
        <w:rPr>
          <w:rFonts w:hint="eastAsia" w:ascii="宋体" w:hAnsi="宋体" w:cs="宋体"/>
          <w:bCs/>
          <w:color w:val="auto"/>
          <w:sz w:val="32"/>
          <w:szCs w:val="32"/>
          <w:highlight w:val="none"/>
        </w:rPr>
        <w:t>浙江豪圣建设项目管理有限公司</w:t>
      </w:r>
    </w:p>
    <w:p>
      <w:pPr>
        <w:snapToGrid w:val="0"/>
        <w:spacing w:line="360" w:lineRule="auto"/>
        <w:jc w:val="center"/>
        <w:rPr>
          <w:rFonts w:ascii="宋体" w:hAnsi="宋体" w:cs="宋体"/>
          <w:bCs/>
          <w:color w:val="auto"/>
          <w:sz w:val="32"/>
          <w:szCs w:val="32"/>
          <w:highlight w:val="none"/>
        </w:rPr>
      </w:pPr>
      <w:r>
        <w:rPr>
          <w:rFonts w:hint="eastAsia" w:ascii="宋体" w:hAnsi="宋体" w:cs="宋体"/>
          <w:bCs/>
          <w:color w:val="auto"/>
          <w:sz w:val="32"/>
          <w:szCs w:val="32"/>
          <w:highlight w:val="none"/>
        </w:rPr>
        <w:t>二〇二三年十二月</w:t>
      </w:r>
      <w:r>
        <w:rPr>
          <w:rFonts w:hint="eastAsia" w:ascii="宋体" w:hAnsi="宋体" w:cs="宋体"/>
          <w:bCs/>
          <w:color w:val="auto"/>
          <w:sz w:val="32"/>
          <w:szCs w:val="32"/>
          <w:highlight w:val="none"/>
          <w:lang w:val="en-US" w:eastAsia="zh-CN"/>
        </w:rPr>
        <w:t>十八</w:t>
      </w:r>
      <w:r>
        <w:rPr>
          <w:rFonts w:hint="eastAsia" w:ascii="宋体" w:hAnsi="宋体" w:cs="宋体"/>
          <w:bCs/>
          <w:color w:val="auto"/>
          <w:sz w:val="32"/>
          <w:szCs w:val="32"/>
          <w:highlight w:val="none"/>
        </w:rPr>
        <w:t>日</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br w:type="page"/>
      </w:r>
      <w:bookmarkStart w:id="0" w:name="_Hlt67893495"/>
      <w:bookmarkEnd w:id="0"/>
    </w:p>
    <w:p>
      <w:pPr>
        <w:spacing w:line="360" w:lineRule="auto"/>
        <w:jc w:val="center"/>
        <w:rPr>
          <w:rFonts w:ascii="宋体" w:hAnsi="宋体" w:cs="宋体"/>
          <w:color w:val="auto"/>
          <w:sz w:val="24"/>
          <w:highlight w:val="none"/>
        </w:rPr>
      </w:pPr>
    </w:p>
    <w:p>
      <w:pPr>
        <w:spacing w:line="360" w:lineRule="auto"/>
        <w:jc w:val="center"/>
        <w:rPr>
          <w:rFonts w:ascii="宋体" w:hAnsi="宋体" w:cs="宋体"/>
          <w:b/>
          <w:color w:val="auto"/>
          <w:sz w:val="48"/>
          <w:szCs w:val="48"/>
          <w:highlight w:val="none"/>
        </w:rPr>
      </w:pPr>
      <w:r>
        <w:rPr>
          <w:rFonts w:hint="eastAsia" w:ascii="宋体" w:hAnsi="宋体" w:cs="宋体"/>
          <w:b/>
          <w:color w:val="auto"/>
          <w:sz w:val="48"/>
          <w:szCs w:val="48"/>
          <w:highlight w:val="none"/>
        </w:rPr>
        <w:t>目  录</w:t>
      </w:r>
    </w:p>
    <w:p>
      <w:pPr>
        <w:spacing w:line="360" w:lineRule="auto"/>
        <w:rPr>
          <w:rFonts w:ascii="宋体" w:hAnsi="宋体" w:cs="宋体"/>
          <w:color w:val="auto"/>
          <w:sz w:val="32"/>
          <w:szCs w:val="32"/>
          <w:highlight w:val="none"/>
        </w:rPr>
      </w:pPr>
    </w:p>
    <w:p>
      <w:pPr>
        <w:spacing w:line="360" w:lineRule="auto"/>
        <w:rPr>
          <w:rFonts w:ascii="宋体" w:hAnsi="宋体" w:cs="宋体"/>
          <w:color w:val="auto"/>
          <w:sz w:val="32"/>
          <w:szCs w:val="32"/>
          <w:highlight w:val="none"/>
        </w:rPr>
      </w:pP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第一部分      竞争性磋商公告</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第二部分      供应商须知</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第三部分      采购需求</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第四部分      评审办法</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第五部分      拟签订的合同文本</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第六部分      应提交的有关格式范例</w:t>
      </w:r>
    </w:p>
    <w:p>
      <w:pPr>
        <w:spacing w:line="360" w:lineRule="auto"/>
        <w:ind w:firstLine="1280" w:firstLineChars="400"/>
        <w:rPr>
          <w:rFonts w:ascii="宋体" w:hAnsi="宋体" w:cs="宋体"/>
          <w:color w:val="auto"/>
          <w:sz w:val="32"/>
          <w:szCs w:val="32"/>
          <w:highlight w:val="none"/>
        </w:rPr>
      </w:pPr>
    </w:p>
    <w:p>
      <w:pPr>
        <w:spacing w:line="360" w:lineRule="auto"/>
        <w:ind w:firstLine="549" w:firstLineChars="229"/>
        <w:rPr>
          <w:rFonts w:ascii="宋体" w:hAnsi="宋体" w:cs="宋体"/>
          <w:color w:val="auto"/>
          <w:sz w:val="24"/>
          <w:highlight w:val="none"/>
        </w:rPr>
      </w:pPr>
      <w:bookmarkStart w:id="1" w:name="_Hlt91233176"/>
      <w:bookmarkEnd w:id="1"/>
      <w:bookmarkStart w:id="2" w:name="_Toc91899869"/>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rPr>
          <w:rFonts w:ascii="宋体" w:hAnsi="宋体" w:cs="宋体"/>
          <w:color w:val="auto"/>
          <w:sz w:val="24"/>
          <w:highlight w:val="none"/>
        </w:rPr>
      </w:pPr>
    </w:p>
    <w:p>
      <w:pPr>
        <w:adjustRightInd/>
        <w:spacing w:line="360" w:lineRule="auto"/>
        <w:jc w:val="center"/>
        <w:outlineLvl w:val="0"/>
        <w:rPr>
          <w:rFonts w:ascii="宋体" w:hAnsi="宋体" w:cs="宋体"/>
          <w:b/>
          <w:color w:val="auto"/>
          <w:sz w:val="36"/>
          <w:szCs w:val="20"/>
          <w:highlight w:val="none"/>
        </w:rPr>
      </w:pPr>
      <w:bookmarkStart w:id="3" w:name="第一部分"/>
      <w:r>
        <w:rPr>
          <w:rFonts w:hint="eastAsia" w:ascii="宋体" w:hAnsi="宋体" w:cs="宋体"/>
          <w:b/>
          <w:color w:val="auto"/>
          <w:sz w:val="36"/>
          <w:szCs w:val="36"/>
          <w:highlight w:val="none"/>
        </w:rPr>
        <w:br w:type="page"/>
      </w:r>
      <w:bookmarkEnd w:id="2"/>
      <w:bookmarkEnd w:id="3"/>
      <w:bookmarkStart w:id="4" w:name="_Hlt74707423"/>
      <w:bookmarkEnd w:id="4"/>
      <w:bookmarkStart w:id="5" w:name="_Hlt74729822"/>
      <w:bookmarkEnd w:id="5"/>
      <w:bookmarkStart w:id="6" w:name="_Hlt74649545"/>
      <w:bookmarkEnd w:id="6"/>
      <w:bookmarkStart w:id="7" w:name="_Hlt74728647"/>
      <w:bookmarkEnd w:id="7"/>
      <w:bookmarkStart w:id="8" w:name="第二部分"/>
      <w:bookmarkStart w:id="9" w:name="_Toc91899870"/>
      <w:bookmarkStart w:id="10" w:name="_Toc91899871"/>
      <w:r>
        <w:rPr>
          <w:rFonts w:hint="eastAsia" w:ascii="宋体" w:hAnsi="宋体" w:cs="宋体"/>
          <w:b/>
          <w:color w:val="auto"/>
          <w:sz w:val="36"/>
          <w:szCs w:val="20"/>
          <w:highlight w:val="none"/>
        </w:rPr>
        <w:t>第一部分 竞争性磋商公告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u w:val="single"/>
        </w:rPr>
        <w:t>杭州市第七人民医院老年一科病区改造工程</w:t>
      </w:r>
      <w:r>
        <w:rPr>
          <w:rFonts w:hint="eastAsia" w:ascii="宋体" w:hAnsi="宋体" w:cs="宋体"/>
          <w:color w:val="auto"/>
          <w:sz w:val="24"/>
          <w:highlight w:val="none"/>
        </w:rPr>
        <w:t>采购项目的潜在供应商应在政采云平台（</w:t>
      </w:r>
      <w:r>
        <w:rPr>
          <w:color w:val="auto"/>
          <w:highlight w:val="none"/>
        </w:rPr>
        <w:fldChar w:fldCharType="begin"/>
      </w:r>
      <w:r>
        <w:rPr>
          <w:color w:val="auto"/>
          <w:highlight w:val="none"/>
        </w:rPr>
        <w:instrText xml:space="preserve"> HYPERLINK "https://www.zcygov.cn/）获取（下载）招标文件，并于2021年" </w:instrText>
      </w:r>
      <w:r>
        <w:rPr>
          <w:color w:val="auto"/>
          <w:highlight w:val="none"/>
        </w:rPr>
        <w:fldChar w:fldCharType="separate"/>
      </w:r>
      <w:r>
        <w:rPr>
          <w:rStyle w:val="77"/>
          <w:rFonts w:hint="eastAsia" w:ascii="宋体" w:hAnsi="宋体" w:eastAsia="宋体" w:cs="宋体"/>
          <w:snapToGrid/>
          <w:color w:val="auto"/>
          <w:kern w:val="2"/>
          <w:sz w:val="24"/>
          <w:szCs w:val="24"/>
          <w:highlight w:val="none"/>
        </w:rPr>
        <w:t>https://www.zcygov.cn/）获取（下载）采购文件，并于</w:t>
      </w:r>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3</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12</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29</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14</w:t>
      </w:r>
      <w:r>
        <w:rPr>
          <w:rFonts w:hint="eastAsia" w:ascii="宋体" w:hAnsi="宋体" w:cs="宋体"/>
          <w:color w:val="auto"/>
          <w:sz w:val="24"/>
          <w:highlight w:val="none"/>
          <w:u w:val="single"/>
        </w:rPr>
        <w:t>点</w:t>
      </w:r>
      <w:r>
        <w:rPr>
          <w:rFonts w:hint="eastAsia" w:ascii="宋体" w:hAnsi="宋体" w:cs="宋体"/>
          <w:color w:val="auto"/>
          <w:sz w:val="24"/>
          <w:highlight w:val="none"/>
          <w:u w:val="single"/>
          <w:lang w:val="en-US" w:eastAsia="zh-CN"/>
        </w:rPr>
        <w:t>00</w:t>
      </w:r>
      <w:r>
        <w:rPr>
          <w:rFonts w:hint="eastAsia" w:ascii="宋体" w:hAnsi="宋体" w:cs="宋体"/>
          <w:color w:val="auto"/>
          <w:sz w:val="24"/>
          <w:highlight w:val="none"/>
          <w:u w:val="single"/>
        </w:rPr>
        <w:t>分</w:t>
      </w:r>
      <w:r>
        <w:rPr>
          <w:rFonts w:hint="eastAsia" w:ascii="宋体" w:hAnsi="宋体" w:cs="宋体"/>
          <w:bCs/>
          <w:color w:val="auto"/>
          <w:sz w:val="24"/>
          <w:highlight w:val="none"/>
          <w:u w:val="single"/>
        </w:rPr>
        <w:t>00秒</w:t>
      </w:r>
      <w:r>
        <w:rPr>
          <w:rFonts w:hint="eastAsia" w:ascii="宋体" w:hAnsi="宋体" w:cs="宋体"/>
          <w:bCs/>
          <w:color w:val="auto"/>
          <w:sz w:val="24"/>
          <w:highlight w:val="none"/>
          <w:u w:val="single"/>
        </w:rPr>
        <w:fldChar w:fldCharType="end"/>
      </w:r>
      <w:r>
        <w:rPr>
          <w:rFonts w:hint="eastAsia" w:ascii="宋体" w:hAnsi="宋体" w:cs="宋体"/>
          <w:bCs/>
          <w:color w:val="auto"/>
          <w:sz w:val="24"/>
          <w:highlight w:val="none"/>
        </w:rPr>
        <w:t>（北京时间）前</w:t>
      </w:r>
      <w:r>
        <w:rPr>
          <w:rFonts w:hint="eastAsia" w:ascii="宋体" w:hAnsi="宋体" w:cs="宋体"/>
          <w:color w:val="auto"/>
          <w:sz w:val="24"/>
          <w:highlight w:val="none"/>
        </w:rPr>
        <w:t>提交（上传）响应文件。</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一、项目基本情况                                            </w:t>
      </w:r>
    </w:p>
    <w:p>
      <w:pPr>
        <w:snapToGrid w:val="0"/>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项目编号：</w:t>
      </w:r>
      <w:r>
        <w:rPr>
          <w:rFonts w:hint="eastAsia" w:ascii="宋体" w:hAnsi="宋体" w:cs="宋体"/>
          <w:color w:val="auto"/>
          <w:sz w:val="24"/>
          <w:highlight w:val="none"/>
        </w:rPr>
        <w:t>[2023]18174号</w:t>
      </w:r>
    </w:p>
    <w:p>
      <w:pPr>
        <w:snapToGrid w:val="0"/>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项目名称：</w:t>
      </w:r>
      <w:r>
        <w:rPr>
          <w:rFonts w:hint="eastAsia" w:ascii="宋体" w:hAnsi="宋体" w:cs="宋体"/>
          <w:color w:val="auto"/>
          <w:sz w:val="24"/>
          <w:highlight w:val="none"/>
        </w:rPr>
        <w:t>杭州市第七人民医院老年一科病区改造工程</w:t>
      </w:r>
    </w:p>
    <w:p>
      <w:pPr>
        <w:snapToGrid w:val="0"/>
        <w:spacing w:line="360" w:lineRule="auto"/>
        <w:ind w:firstLine="482" w:firstLineChars="200"/>
        <w:rPr>
          <w:rFonts w:ascii="宋体" w:hAnsi="宋体" w:cs="宋体"/>
          <w:bCs/>
          <w:color w:val="auto"/>
          <w:sz w:val="24"/>
          <w:highlight w:val="none"/>
        </w:rPr>
      </w:pPr>
      <w:r>
        <w:rPr>
          <w:rFonts w:hint="eastAsia" w:ascii="宋体" w:hAnsi="宋体" w:cs="宋体"/>
          <w:b/>
          <w:color w:val="auto"/>
          <w:sz w:val="24"/>
          <w:highlight w:val="none"/>
        </w:rPr>
        <w:t>预算金额（元）：</w:t>
      </w:r>
      <w:r>
        <w:rPr>
          <w:rFonts w:hint="eastAsia" w:ascii="宋体" w:hAnsi="宋体" w:cs="宋体"/>
          <w:bCs/>
          <w:color w:val="auto"/>
          <w:sz w:val="24"/>
          <w:highlight w:val="none"/>
        </w:rPr>
        <w:t>3900000</w:t>
      </w:r>
    </w:p>
    <w:p>
      <w:pPr>
        <w:snapToGrid w:val="0"/>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最高限价（元）：</w:t>
      </w:r>
      <w:r>
        <w:rPr>
          <w:rFonts w:hint="eastAsia" w:ascii="宋体" w:hAnsi="宋体" w:cs="宋体"/>
          <w:bCs/>
          <w:color w:val="auto"/>
          <w:sz w:val="24"/>
          <w:highlight w:val="none"/>
        </w:rPr>
        <w:t>3893640</w:t>
      </w:r>
    </w:p>
    <w:p>
      <w:pPr>
        <w:pStyle w:val="5"/>
        <w:spacing w:line="360" w:lineRule="auto"/>
        <w:ind w:firstLine="482" w:firstLineChars="200"/>
        <w:rPr>
          <w:rFonts w:hAnsi="宋体" w:cs="宋体"/>
          <w:bCs/>
          <w:snapToGrid/>
          <w:color w:val="auto"/>
          <w:kern w:val="2"/>
          <w:sz w:val="24"/>
          <w:szCs w:val="24"/>
          <w:highlight w:val="none"/>
        </w:rPr>
      </w:pPr>
      <w:r>
        <w:rPr>
          <w:rFonts w:hint="eastAsia" w:hAnsi="宋体" w:cs="宋体"/>
          <w:b/>
          <w:color w:val="auto"/>
          <w:sz w:val="24"/>
          <w:highlight w:val="none"/>
        </w:rPr>
        <w:t>采购需求：</w:t>
      </w:r>
      <w:r>
        <w:rPr>
          <w:rFonts w:hint="eastAsia" w:hAnsi="宋体" w:cs="宋体"/>
          <w:bCs/>
          <w:snapToGrid/>
          <w:color w:val="auto"/>
          <w:kern w:val="2"/>
          <w:sz w:val="24"/>
          <w:szCs w:val="24"/>
          <w:highlight w:val="none"/>
        </w:rPr>
        <w:t>杭州市第七人民医院老年一科病区改造工程主要内容：</w:t>
      </w:r>
      <w:r>
        <w:rPr>
          <w:rFonts w:hint="eastAsia" w:hAnsi="宋体" w:cs="宋体"/>
          <w:bCs/>
          <w:snapToGrid/>
          <w:color w:val="auto"/>
          <w:kern w:val="2"/>
          <w:sz w:val="24"/>
          <w:szCs w:val="24"/>
          <w:highlight w:val="none"/>
        </w:rPr>
        <w:t>包括杭州市第七人民医院装修、暖通、给排水等施工。</w:t>
      </w:r>
      <w:r>
        <w:rPr>
          <w:rFonts w:hint="eastAsia" w:hAnsi="宋体" w:cs="宋体"/>
          <w:bCs/>
          <w:snapToGrid/>
          <w:color w:val="auto"/>
          <w:kern w:val="2"/>
          <w:sz w:val="24"/>
          <w:szCs w:val="24"/>
          <w:highlight w:val="none"/>
        </w:rPr>
        <w:t>详见采购文件第三部分采购需求。</w:t>
      </w:r>
    </w:p>
    <w:p>
      <w:pPr>
        <w:pStyle w:val="131"/>
        <w:snapToGrid w:val="0"/>
        <w:spacing w:before="0"/>
        <w:ind w:firstLine="482"/>
        <w:outlineLvl w:val="2"/>
        <w:rPr>
          <w:rFonts w:ascii="宋体" w:hAnsi="宋体" w:cs="宋体"/>
          <w:color w:val="auto"/>
          <w:highlight w:val="none"/>
        </w:rPr>
      </w:pPr>
      <w:r>
        <w:rPr>
          <w:rFonts w:hint="eastAsia" w:ascii="宋体" w:hAnsi="宋体" w:cs="宋体"/>
          <w:b/>
          <w:color w:val="auto"/>
          <w:highlight w:val="none"/>
        </w:rPr>
        <w:t>合同履约期限：</w:t>
      </w:r>
      <w:r>
        <w:rPr>
          <w:rFonts w:ascii="宋体" w:hAnsi="宋体" w:cs="宋体"/>
          <w:bCs/>
          <w:color w:val="auto"/>
          <w:highlight w:val="none"/>
        </w:rPr>
        <w:t>150</w:t>
      </w:r>
      <w:r>
        <w:rPr>
          <w:rFonts w:hint="eastAsia" w:ascii="宋体" w:hAnsi="宋体" w:cs="宋体"/>
          <w:bCs/>
          <w:color w:val="auto"/>
          <w:highlight w:val="none"/>
        </w:rPr>
        <w:t>日历天</w:t>
      </w:r>
      <w:r>
        <w:rPr>
          <w:rFonts w:hint="eastAsia" w:ascii="宋体" w:hAnsi="宋体" w:cs="宋体"/>
          <w:bCs/>
          <w:color w:val="auto"/>
          <w:highlight w:val="none"/>
        </w:rPr>
        <w:t>。</w:t>
      </w:r>
    </w:p>
    <w:p>
      <w:pPr>
        <w:pStyle w:val="5"/>
        <w:spacing w:line="360" w:lineRule="auto"/>
        <w:ind w:firstLine="482" w:firstLineChars="200"/>
        <w:rPr>
          <w:rFonts w:hAnsi="宋体" w:cs="宋体"/>
          <w:b/>
          <w:color w:val="auto"/>
          <w:sz w:val="24"/>
          <w:highlight w:val="none"/>
        </w:rPr>
      </w:pPr>
      <w:r>
        <w:rPr>
          <w:rFonts w:hint="eastAsia" w:hAnsi="宋体" w:cs="宋体"/>
          <w:b/>
          <w:color w:val="auto"/>
          <w:sz w:val="24"/>
          <w:highlight w:val="none"/>
        </w:rPr>
        <w:t>本项目接受联合体：</w:t>
      </w:r>
    </w:p>
    <w:p>
      <w:pPr>
        <w:pStyle w:val="5"/>
        <w:spacing w:line="360" w:lineRule="auto"/>
        <w:ind w:firstLine="480" w:firstLineChars="200"/>
        <w:rPr>
          <w:rFonts w:hAnsi="宋体" w:cs="宋体"/>
          <w:color w:val="auto"/>
          <w:sz w:val="24"/>
          <w:highlight w:val="none"/>
        </w:rPr>
      </w:pPr>
      <w:sdt>
        <w:sdtPr>
          <w:rPr>
            <w:rFonts w:hint="eastAsia" w:hAnsi="宋体" w:cs="宋体"/>
            <w:color w:val="auto"/>
            <w:kern w:val="0"/>
            <w:sz w:val="24"/>
            <w:highlight w:val="none"/>
          </w:rPr>
          <w:id w:val="2035453831"/>
          <w14:checkbox>
            <w14:checked w14:val="1"/>
            <w14:checkedState w14:val="00FE" w14:font="Wingdings"/>
            <w14:uncheckedState w14:val="2610" w14:font="MS Gothic"/>
          </w14:checkbox>
        </w:sdtPr>
        <w:sdtEndPr>
          <w:rPr>
            <w:rFonts w:hint="eastAsia" w:hAnsi="宋体" w:cs="宋体"/>
            <w:color w:val="auto"/>
            <w:kern w:val="0"/>
            <w:sz w:val="24"/>
            <w:highlight w:val="none"/>
          </w:rPr>
        </w:sdtEndPr>
        <w:sdtContent>
          <w:r>
            <w:rPr>
              <w:rFonts w:hAnsi="宋体" w:cs="宋体"/>
              <w:color w:val="auto"/>
              <w:kern w:val="0"/>
              <w:sz w:val="24"/>
              <w:highlight w:val="none"/>
            </w:rPr>
            <w:sym w:font="Wingdings" w:char="F0FE"/>
          </w:r>
        </w:sdtContent>
      </w:sdt>
      <w:r>
        <w:rPr>
          <w:rFonts w:hint="eastAsia" w:hAnsi="宋体" w:cs="宋体"/>
          <w:color w:val="auto"/>
          <w:sz w:val="24"/>
          <w:highlight w:val="none"/>
        </w:rPr>
        <w:t>是；</w:t>
      </w:r>
    </w:p>
    <w:p>
      <w:pPr>
        <w:pStyle w:val="5"/>
        <w:spacing w:line="360" w:lineRule="auto"/>
        <w:ind w:firstLine="480" w:firstLineChars="200"/>
        <w:rPr>
          <w:rFonts w:hAnsi="宋体" w:cs="宋体"/>
          <w:color w:val="auto"/>
          <w:kern w:val="0"/>
          <w:sz w:val="24"/>
          <w:highlight w:val="none"/>
        </w:rPr>
      </w:pPr>
      <w:sdt>
        <w:sdtPr>
          <w:rPr>
            <w:rFonts w:hint="eastAsia" w:hAnsi="宋体" w:cs="宋体"/>
            <w:color w:val="auto"/>
            <w:kern w:val="0"/>
            <w:sz w:val="24"/>
            <w:highlight w:val="none"/>
          </w:rPr>
          <w:id w:val="-1765526721"/>
          <w14:checkbox>
            <w14:checked w14:val="0"/>
            <w14:checkedState w14:val="00FE" w14:font="Wingdings"/>
            <w14:uncheckedState w14:val="2610" w14:font="MS Gothic"/>
          </w14:checkbox>
        </w:sdtPr>
        <w:sdtEndPr>
          <w:rPr>
            <w:rFonts w:hint="eastAsia" w:hAnsi="宋体" w:cs="宋体"/>
            <w:color w:val="auto"/>
            <w:kern w:val="0"/>
            <w:sz w:val="24"/>
            <w:highlight w:val="none"/>
          </w:rPr>
        </w:sdtEndPr>
        <w:sdtContent>
          <w:r>
            <w:rPr>
              <w:rFonts w:hAnsi="宋体" w:cs="宋体"/>
              <w:color w:val="auto"/>
              <w:kern w:val="0"/>
              <w:sz w:val="24"/>
              <w:highlight w:val="none"/>
            </w:rPr>
            <w:t>☐</w:t>
          </w:r>
        </w:sdtContent>
      </w:sdt>
      <w:r>
        <w:rPr>
          <w:rFonts w:hint="eastAsia" w:hAnsi="宋体" w:cs="宋体"/>
          <w:color w:val="auto"/>
          <w:sz w:val="24"/>
          <w:highlight w:val="none"/>
        </w:rPr>
        <w:t>否</w:t>
      </w:r>
      <w:r>
        <w:rPr>
          <w:rFonts w:hint="eastAsia" w:hAnsi="宋体" w:cs="宋体"/>
          <w:color w:val="auto"/>
          <w:kern w:val="0"/>
          <w:sz w:val="24"/>
          <w:highlight w:val="none"/>
        </w:rPr>
        <w:t>，不接受联合体理由：</w:t>
      </w:r>
      <w:r>
        <w:rPr>
          <w:rFonts w:hAnsi="宋体" w:cs="宋体"/>
          <w:color w:val="auto"/>
          <w:kern w:val="0"/>
          <w:sz w:val="24"/>
          <w:highlight w:val="none"/>
          <w:u w:val="single"/>
        </w:rPr>
        <w:t xml:space="preserve"> </w:t>
      </w:r>
      <w:r>
        <w:rPr>
          <w:rFonts w:hint="eastAsia" w:hAnsi="宋体" w:cs="宋体"/>
          <w:color w:val="auto"/>
          <w:kern w:val="0"/>
          <w:sz w:val="24"/>
          <w:highlight w:val="none"/>
          <w:u w:val="single"/>
        </w:rPr>
        <w:t>/</w:t>
      </w:r>
      <w:r>
        <w:rPr>
          <w:rFonts w:hAnsi="宋体" w:cs="宋体"/>
          <w:color w:val="auto"/>
          <w:kern w:val="0"/>
          <w:sz w:val="24"/>
          <w:highlight w:val="none"/>
          <w:u w:val="single"/>
        </w:rPr>
        <w:t xml:space="preserve"> </w:t>
      </w:r>
      <w:r>
        <w:rPr>
          <w:rFonts w:hint="eastAsia" w:hAnsi="宋体" w:cs="宋体"/>
          <w:color w:val="auto"/>
          <w:kern w:val="0"/>
          <w:sz w:val="24"/>
          <w:highlight w:val="none"/>
        </w:rPr>
        <w:t>。</w:t>
      </w:r>
    </w:p>
    <w:p>
      <w:pPr>
        <w:pStyle w:val="131"/>
        <w:snapToGrid w:val="0"/>
        <w:spacing w:before="0"/>
        <w:ind w:firstLine="482"/>
        <w:outlineLvl w:val="2"/>
        <w:rPr>
          <w:rFonts w:ascii="宋体" w:hAnsi="宋体" w:cs="宋体"/>
          <w:b/>
          <w:color w:val="auto"/>
          <w:highlight w:val="none"/>
        </w:rPr>
      </w:pPr>
      <w:r>
        <w:rPr>
          <w:rFonts w:hint="eastAsia" w:ascii="宋体" w:hAnsi="宋体" w:cs="宋体"/>
          <w:b/>
          <w:color w:val="auto"/>
          <w:highlight w:val="none"/>
        </w:rPr>
        <w:t>注：</w:t>
      </w:r>
      <w:r>
        <w:rPr>
          <w:rFonts w:hint="eastAsia" w:ascii="宋体" w:hAnsi="宋体" w:cs="宋体"/>
          <w:b/>
          <w:color w:val="auto"/>
          <w:highlight w:val="none"/>
          <w:lang w:val="en-US" w:eastAsia="zh-CN"/>
        </w:rPr>
        <w:t>/</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二、</w:t>
      </w:r>
      <w:bookmarkStart w:id="11" w:name="_Hlk101132948"/>
      <w:r>
        <w:rPr>
          <w:rFonts w:hint="eastAsia" w:ascii="宋体" w:hAnsi="宋体" w:cs="宋体"/>
          <w:b/>
          <w:color w:val="auto"/>
          <w:sz w:val="24"/>
          <w:highlight w:val="none"/>
        </w:rPr>
        <w:t>申请人的资格要求</w:t>
      </w:r>
      <w:bookmarkEnd w:id="11"/>
      <w:r>
        <w:rPr>
          <w:rFonts w:hint="eastAsia" w:ascii="宋体" w:hAnsi="宋体" w:cs="宋体"/>
          <w:b/>
          <w:color w:val="auto"/>
          <w:sz w:val="24"/>
          <w:highlight w:val="none"/>
        </w:rPr>
        <w:t>：</w:t>
      </w:r>
    </w:p>
    <w:p>
      <w:pPr>
        <w:spacing w:line="360" w:lineRule="auto"/>
        <w:ind w:firstLine="480"/>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 xml:space="preserve">    </w:t>
      </w:r>
      <w:r>
        <w:rPr>
          <w:rFonts w:ascii="宋体" w:hAnsi="宋体" w:cs="宋体"/>
          <w:snapToGrid w:val="0"/>
          <w:color w:val="auto"/>
          <w:kern w:val="28"/>
          <w:sz w:val="24"/>
          <w:szCs w:val="20"/>
          <w:highlight w:val="none"/>
        </w:rPr>
        <w:t>2</w:t>
      </w:r>
      <w:r>
        <w:rPr>
          <w:rFonts w:hint="eastAsia" w:ascii="宋体" w:hAnsi="宋体" w:cs="宋体"/>
          <w:snapToGrid w:val="0"/>
          <w:color w:val="auto"/>
          <w:kern w:val="28"/>
          <w:sz w:val="24"/>
          <w:szCs w:val="20"/>
          <w:highlight w:val="none"/>
        </w:rPr>
        <w:t>.</w:t>
      </w:r>
      <w:r>
        <w:rPr>
          <w:rFonts w:hint="eastAsia"/>
          <w:color w:val="auto"/>
          <w:highlight w:val="none"/>
        </w:rPr>
        <w:t xml:space="preserve"> </w:t>
      </w:r>
      <w:r>
        <w:rPr>
          <w:rFonts w:hint="eastAsia" w:ascii="宋体" w:hAnsi="宋体" w:cs="宋体"/>
          <w:snapToGrid w:val="0"/>
          <w:color w:val="auto"/>
          <w:kern w:val="28"/>
          <w:sz w:val="24"/>
          <w:szCs w:val="20"/>
          <w:highlight w:val="none"/>
        </w:rPr>
        <w:t>以联合体形式参与的，提供联合协议(本项目不接受联合体或者供应商不以联合体形式参与的，则不需要提供) ；</w:t>
      </w:r>
    </w:p>
    <w:p>
      <w:pPr>
        <w:spacing w:line="360" w:lineRule="auto"/>
        <w:ind w:firstLine="480" w:firstLineChars="200"/>
        <w:rPr>
          <w:rFonts w:ascii="宋体" w:hAnsi="宋体" w:cs="宋体"/>
          <w:snapToGrid w:val="0"/>
          <w:color w:val="auto"/>
          <w:kern w:val="28"/>
          <w:sz w:val="24"/>
          <w:szCs w:val="20"/>
          <w:highlight w:val="none"/>
        </w:rPr>
      </w:pPr>
      <w:r>
        <w:rPr>
          <w:rFonts w:ascii="宋体" w:hAnsi="宋体" w:cs="宋体"/>
          <w:snapToGrid w:val="0"/>
          <w:color w:val="auto"/>
          <w:kern w:val="28"/>
          <w:sz w:val="24"/>
          <w:szCs w:val="20"/>
          <w:highlight w:val="none"/>
        </w:rPr>
        <w:t>3</w:t>
      </w:r>
      <w:r>
        <w:rPr>
          <w:rFonts w:hint="eastAsia" w:ascii="宋体" w:hAnsi="宋体" w:cs="宋体"/>
          <w:snapToGrid w:val="0"/>
          <w:color w:val="auto"/>
          <w:kern w:val="28"/>
          <w:sz w:val="24"/>
          <w:szCs w:val="20"/>
          <w:highlight w:val="none"/>
        </w:rPr>
        <w:t>.落实政府采购政策需满足的资格要求：</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928616923"/>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无；</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024704304"/>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sym w:font="Wingdings" w:char="F0FE"/>
          </w:r>
        </w:sdtContent>
      </w:sdt>
      <w:r>
        <w:rPr>
          <w:rFonts w:hint="eastAsia" w:ascii="宋体" w:hAnsi="宋体" w:cs="宋体"/>
          <w:color w:val="auto"/>
          <w:kern w:val="0"/>
          <w:sz w:val="24"/>
          <w:highlight w:val="none"/>
        </w:rPr>
        <w:t>专</w:t>
      </w:r>
      <w:r>
        <w:rPr>
          <w:rFonts w:hint="eastAsia" w:ascii="宋体" w:hAnsi="宋体" w:cs="宋体"/>
          <w:color w:val="auto"/>
          <w:sz w:val="24"/>
          <w:highlight w:val="none"/>
        </w:rPr>
        <w:t>门面向中小企业</w:t>
      </w:r>
    </w:p>
    <w:p>
      <w:pPr>
        <w:spacing w:line="360" w:lineRule="auto"/>
        <w:ind w:firstLine="897" w:firstLineChars="374"/>
        <w:rPr>
          <w:rFonts w:ascii="宋体" w:hAnsi="宋体" w:cs="宋体"/>
          <w:color w:val="auto"/>
          <w:sz w:val="24"/>
          <w:highlight w:val="none"/>
          <w:u w:val="single"/>
        </w:rPr>
      </w:pPr>
      <w:sdt>
        <w:sdtPr>
          <w:rPr>
            <w:rFonts w:hint="eastAsia" w:ascii="宋体" w:hAnsi="宋体" w:cs="宋体"/>
            <w:color w:val="auto"/>
            <w:kern w:val="0"/>
            <w:sz w:val="24"/>
            <w:highlight w:val="none"/>
          </w:rPr>
          <w:id w:val="-924730588"/>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cs="宋体"/>
              <w:color w:val="auto"/>
              <w:kern w:val="0"/>
              <w:sz w:val="24"/>
              <w:highlight w:val="none"/>
            </w:rPr>
            <w:t>☐</w:t>
          </w:r>
        </w:sdtContent>
      </w:sdt>
      <w:r>
        <w:rPr>
          <w:rFonts w:hint="eastAsia" w:ascii="宋体" w:hAnsi="宋体" w:cs="宋体"/>
          <w:color w:val="auto"/>
          <w:sz w:val="24"/>
          <w:highlight w:val="none"/>
        </w:rPr>
        <w:t>工程全部由符合政策要求的中小企业承建，提供中小企业声明函；</w:t>
      </w:r>
    </w:p>
    <w:p>
      <w:pPr>
        <w:spacing w:line="360" w:lineRule="auto"/>
        <w:ind w:firstLine="897" w:firstLineChars="374"/>
        <w:rPr>
          <w:rFonts w:ascii="宋体" w:hAnsi="宋体" w:cs="宋体"/>
          <w:color w:val="auto"/>
          <w:sz w:val="24"/>
          <w:highlight w:val="none"/>
        </w:rPr>
      </w:pPr>
      <w:sdt>
        <w:sdtPr>
          <w:rPr>
            <w:rFonts w:hint="eastAsia" w:ascii="宋体" w:hAnsi="宋体" w:cs="宋体"/>
            <w:color w:val="auto"/>
            <w:kern w:val="0"/>
            <w:sz w:val="24"/>
            <w:highlight w:val="none"/>
          </w:rPr>
          <w:id w:val="-1152604937"/>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Wingdings" w:hAnsi="Wingdings" w:cs="宋体"/>
              <w:color w:val="auto"/>
              <w:kern w:val="0"/>
              <w:sz w:val="24"/>
              <w:highlight w:val="none"/>
            </w:rPr>
            <w:t></w:t>
          </w:r>
        </w:sdtContent>
      </w:sdt>
      <w:r>
        <w:rPr>
          <w:rFonts w:hint="eastAsia" w:ascii="宋体" w:hAnsi="宋体" w:cs="宋体"/>
          <w:color w:val="auto"/>
          <w:sz w:val="24"/>
          <w:highlight w:val="none"/>
        </w:rPr>
        <w:t>工程全部由符合政策要求的</w:t>
      </w:r>
      <w:r>
        <w:rPr>
          <w:rFonts w:hint="eastAsia" w:ascii="宋体" w:hAnsi="宋体" w:cs="宋体"/>
          <w:color w:val="auto"/>
          <w:sz w:val="24"/>
          <w:highlight w:val="none"/>
        </w:rPr>
        <w:t>小微企业承建，</w:t>
      </w:r>
      <w:r>
        <w:rPr>
          <w:rFonts w:hint="eastAsia" w:ascii="宋体" w:hAnsi="宋体" w:cs="宋体"/>
          <w:color w:val="auto"/>
          <w:sz w:val="24"/>
          <w:highlight w:val="none"/>
        </w:rPr>
        <w:t>提供中小企业声明函；</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98560779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bookmarkStart w:id="12" w:name="_Hlk101132524"/>
        </w:sdtContent>
      </w:sdt>
      <w:r>
        <w:rPr>
          <w:rFonts w:hint="eastAsia" w:ascii="宋体" w:hAnsi="宋体" w:cs="宋体"/>
          <w:color w:val="auto"/>
          <w:sz w:val="24"/>
          <w:highlight w:val="none"/>
        </w:rPr>
        <w:t>要求以联合体形式参加，提供联合协议和中小企业声明函，联合协议中中小企业合同金额应当达到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pacing w:val="8"/>
          <w:kern w:val="0"/>
          <w:sz w:val="24"/>
          <w:highlight w:val="none"/>
        </w:rPr>
        <w:t>如果供应商本身提供所有标的均由中小企业承建，并相应达到了前述比例要求，视同符合了资格条件，无需再与其他中小企业组成联合体参加政府采购活动，无需提供联合协议</w:t>
      </w:r>
      <w:r>
        <w:rPr>
          <w:rFonts w:hint="eastAsia" w:ascii="宋体" w:hAnsi="宋体" w:cs="宋体"/>
          <w:color w:val="auto"/>
          <w:sz w:val="24"/>
          <w:highlight w:val="none"/>
        </w:rPr>
        <w:t>；</w:t>
      </w:r>
    </w:p>
    <w:bookmarkEnd w:id="12"/>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3463064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要求合同分包，提供分包意向协议和中小企业声明函，分包意向协议中中小企业合同金额应当达到达到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w:t>
      </w:r>
      <w:r>
        <w:rPr>
          <w:rFonts w:hint="eastAsia" w:ascii="宋体" w:hAnsi="宋体" w:cs="宋体"/>
          <w:color w:val="auto"/>
          <w:spacing w:val="8"/>
          <w:kern w:val="0"/>
          <w:sz w:val="24"/>
          <w:highlight w:val="none"/>
        </w:rPr>
        <w:t>如果供应商本身提供所有标的均由中小企业承建，并相应达到了前述比例要求，视同符合了资格条件，无需再向中小企业分包，无需提供分包意向协议</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4</w:t>
      </w:r>
      <w:r>
        <w:rPr>
          <w:rFonts w:hint="eastAsia" w:ascii="宋体" w:hAnsi="宋体" w:cs="宋体"/>
          <w:color w:val="auto"/>
          <w:sz w:val="24"/>
          <w:highlight w:val="none"/>
        </w:rPr>
        <w:t>.本项目的特定资格要求：</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（1）供应商同时具有</w:t>
      </w:r>
      <w:r>
        <w:rPr>
          <w:rFonts w:hint="eastAsia" w:ascii="宋体" w:hAnsi="宋体" w:cs="宋体"/>
          <w:color w:val="auto"/>
          <w:sz w:val="24"/>
          <w:highlight w:val="none"/>
        </w:rPr>
        <w:t>建筑装修装饰工程专业承包二级及以上资质</w:t>
      </w:r>
      <w:r>
        <w:rPr>
          <w:rFonts w:hint="eastAsia" w:ascii="宋体" w:hAnsi="宋体" w:cs="宋体"/>
          <w:color w:val="auto"/>
          <w:sz w:val="24"/>
          <w:highlight w:val="none"/>
        </w:rPr>
        <w:t>；</w:t>
      </w:r>
    </w:p>
    <w:p>
      <w:pPr>
        <w:widowControl/>
        <w:autoSpaceDN w:val="0"/>
        <w:snapToGrid w:val="0"/>
        <w:spacing w:line="360" w:lineRule="auto"/>
        <w:ind w:firstLine="464" w:firstLineChars="200"/>
        <w:jc w:val="left"/>
        <w:rPr>
          <w:rFonts w:ascii="宋体" w:hAnsi="宋体" w:cs="宋体"/>
          <w:color w:val="auto"/>
          <w:spacing w:val="-4"/>
          <w:kern w:val="0"/>
          <w:sz w:val="24"/>
          <w:highlight w:val="none"/>
        </w:rPr>
      </w:pPr>
      <w:bookmarkStart w:id="13" w:name="_Hlk130373903"/>
      <w:r>
        <w:rPr>
          <w:rFonts w:hint="eastAsia" w:ascii="宋体" w:hAnsi="宋体" w:cs="宋体"/>
          <w:color w:val="auto"/>
          <w:spacing w:val="-4"/>
          <w:kern w:val="0"/>
          <w:sz w:val="24"/>
          <w:highlight w:val="none"/>
        </w:rPr>
        <w:t>（2）供应商具有《安全生产许可证》；</w:t>
      </w:r>
    </w:p>
    <w:p>
      <w:pPr>
        <w:widowControl/>
        <w:autoSpaceDN w:val="0"/>
        <w:snapToGrid w:val="0"/>
        <w:spacing w:line="360" w:lineRule="auto"/>
        <w:ind w:firstLine="464" w:firstLineChars="200"/>
        <w:jc w:val="left"/>
        <w:rPr>
          <w:rFonts w:ascii="宋体" w:hAnsi="宋体" w:cs="宋体"/>
          <w:color w:val="auto"/>
          <w:spacing w:val="-4"/>
          <w:kern w:val="0"/>
          <w:sz w:val="24"/>
          <w:highlight w:val="none"/>
        </w:rPr>
      </w:pPr>
      <w:r>
        <w:rPr>
          <w:rFonts w:hint="eastAsia" w:ascii="宋体" w:hAnsi="宋体" w:cs="宋体"/>
          <w:color w:val="auto"/>
          <w:spacing w:val="-4"/>
          <w:kern w:val="0"/>
          <w:sz w:val="24"/>
          <w:highlight w:val="none"/>
        </w:rPr>
        <w:t>（3）</w:t>
      </w:r>
      <w:bookmarkEnd w:id="13"/>
      <w:r>
        <w:rPr>
          <w:rFonts w:hint="eastAsia" w:ascii="宋体" w:hAnsi="宋体" w:cs="宋体"/>
          <w:color w:val="auto"/>
          <w:spacing w:val="-4"/>
          <w:kern w:val="0"/>
          <w:sz w:val="24"/>
          <w:highlight w:val="none"/>
        </w:rPr>
        <w:t>本项目允许符合以下规定的联合体参加投标：</w:t>
      </w:r>
    </w:p>
    <w:p>
      <w:pPr>
        <w:widowControl/>
        <w:autoSpaceDN w:val="0"/>
        <w:snapToGrid w:val="0"/>
        <w:spacing w:line="360" w:lineRule="auto"/>
        <w:ind w:firstLine="464" w:firstLineChars="200"/>
        <w:jc w:val="left"/>
        <w:rPr>
          <w:rFonts w:ascii="宋体" w:hAnsi="宋体" w:cs="宋体"/>
          <w:color w:val="auto"/>
          <w:spacing w:val="-4"/>
          <w:kern w:val="0"/>
          <w:sz w:val="24"/>
          <w:highlight w:val="none"/>
        </w:rPr>
      </w:pPr>
      <w:r>
        <w:rPr>
          <w:rFonts w:hint="eastAsia" w:ascii="宋体" w:hAnsi="宋体" w:cs="宋体"/>
          <w:color w:val="auto"/>
          <w:spacing w:val="-4"/>
          <w:kern w:val="0"/>
          <w:sz w:val="24"/>
          <w:highlight w:val="none"/>
        </w:rPr>
        <w:t>①联合体各方均须为符合政策要求的</w:t>
      </w:r>
      <w:r>
        <w:rPr>
          <w:rFonts w:hint="eastAsia" w:ascii="宋体" w:hAnsi="宋体" w:cs="宋体"/>
          <w:color w:val="auto"/>
          <w:spacing w:val="-4"/>
          <w:kern w:val="0"/>
          <w:sz w:val="24"/>
          <w:highlight w:val="none"/>
        </w:rPr>
        <w:t>小、微型企业</w:t>
      </w:r>
      <w:r>
        <w:rPr>
          <w:rFonts w:hint="eastAsia" w:ascii="宋体" w:hAnsi="宋体" w:cs="宋体"/>
          <w:color w:val="auto"/>
          <w:spacing w:val="-4"/>
          <w:kern w:val="0"/>
          <w:sz w:val="24"/>
          <w:highlight w:val="none"/>
        </w:rPr>
        <w:t>并且符合本项目“申请人的资格要求”第1条规定；</w:t>
      </w:r>
    </w:p>
    <w:p>
      <w:pPr>
        <w:widowControl/>
        <w:autoSpaceDN w:val="0"/>
        <w:snapToGrid w:val="0"/>
        <w:spacing w:line="360" w:lineRule="auto"/>
        <w:ind w:firstLine="464" w:firstLineChars="200"/>
        <w:jc w:val="left"/>
        <w:rPr>
          <w:rFonts w:ascii="宋体" w:hAnsi="宋体" w:cs="宋体"/>
          <w:color w:val="auto"/>
          <w:spacing w:val="-4"/>
          <w:kern w:val="0"/>
          <w:sz w:val="24"/>
          <w:highlight w:val="none"/>
        </w:rPr>
      </w:pPr>
      <w:r>
        <w:rPr>
          <w:rFonts w:hint="eastAsia" w:ascii="宋体" w:hAnsi="宋体" w:cs="宋体"/>
          <w:color w:val="auto"/>
          <w:spacing w:val="-4"/>
          <w:kern w:val="0"/>
          <w:sz w:val="24"/>
          <w:highlight w:val="none"/>
        </w:rPr>
        <w:t>②提交有效的联合投标（响应）协议书，明确载明联合体各方承担的工作和义务。</w:t>
      </w:r>
    </w:p>
    <w:p>
      <w:pPr>
        <w:widowControl/>
        <w:autoSpaceDN w:val="0"/>
        <w:snapToGrid w:val="0"/>
        <w:spacing w:line="360" w:lineRule="auto"/>
        <w:ind w:firstLine="464" w:firstLineChars="200"/>
        <w:jc w:val="left"/>
        <w:rPr>
          <w:rFonts w:ascii="宋体" w:hAnsi="宋体" w:cs="宋体"/>
          <w:color w:val="auto"/>
          <w:spacing w:val="-4"/>
          <w:kern w:val="0"/>
          <w:sz w:val="24"/>
          <w:highlight w:val="none"/>
        </w:rPr>
      </w:pPr>
      <w:r>
        <w:rPr>
          <w:rFonts w:hint="eastAsia" w:ascii="宋体" w:hAnsi="宋体" w:cs="宋体"/>
          <w:color w:val="auto"/>
          <w:spacing w:val="-4"/>
          <w:kern w:val="0"/>
          <w:sz w:val="24"/>
          <w:highlight w:val="none"/>
        </w:rPr>
        <w:t>（4）本项目允许分包，要求如下：</w:t>
      </w:r>
    </w:p>
    <w:p>
      <w:pPr>
        <w:widowControl/>
        <w:autoSpaceDN w:val="0"/>
        <w:snapToGrid w:val="0"/>
        <w:spacing w:line="360" w:lineRule="auto"/>
        <w:ind w:firstLine="464" w:firstLineChars="200"/>
        <w:jc w:val="left"/>
        <w:rPr>
          <w:rFonts w:ascii="宋体" w:hAnsi="宋体" w:cs="宋体"/>
          <w:color w:val="auto"/>
          <w:spacing w:val="-4"/>
          <w:kern w:val="0"/>
          <w:sz w:val="24"/>
          <w:highlight w:val="none"/>
        </w:rPr>
      </w:pPr>
      <w:r>
        <w:rPr>
          <w:rFonts w:hint="eastAsia" w:ascii="宋体" w:hAnsi="宋体" w:cs="宋体"/>
          <w:color w:val="auto"/>
          <w:spacing w:val="-4"/>
          <w:kern w:val="0"/>
          <w:sz w:val="24"/>
          <w:highlight w:val="none"/>
        </w:rPr>
        <w:t>①分包承担主体均须为符合政策要求的</w:t>
      </w:r>
      <w:r>
        <w:rPr>
          <w:rFonts w:hint="eastAsia" w:ascii="宋体" w:hAnsi="宋体" w:cs="宋体"/>
          <w:color w:val="auto"/>
          <w:spacing w:val="-4"/>
          <w:kern w:val="0"/>
          <w:sz w:val="24"/>
          <w:highlight w:val="none"/>
        </w:rPr>
        <w:t>小、微型企业</w:t>
      </w:r>
      <w:r>
        <w:rPr>
          <w:rFonts w:hint="eastAsia" w:ascii="宋体" w:hAnsi="宋体" w:cs="宋体"/>
          <w:color w:val="auto"/>
          <w:spacing w:val="-4"/>
          <w:kern w:val="0"/>
          <w:sz w:val="24"/>
          <w:highlight w:val="none"/>
        </w:rPr>
        <w:t>并且符合本项目“申请人的资格要求”第1条规定；</w:t>
      </w:r>
    </w:p>
    <w:p>
      <w:pPr>
        <w:spacing w:line="360" w:lineRule="auto"/>
        <w:ind w:firstLine="464" w:firstLineChars="200"/>
        <w:rPr>
          <w:rFonts w:ascii="宋体" w:hAnsi="宋体" w:cs="宋体"/>
          <w:color w:val="auto"/>
          <w:sz w:val="24"/>
          <w:highlight w:val="none"/>
        </w:rPr>
      </w:pPr>
      <w:r>
        <w:rPr>
          <w:rFonts w:hint="eastAsia" w:ascii="宋体" w:hAnsi="宋体" w:cs="宋体"/>
          <w:color w:val="auto"/>
          <w:spacing w:val="-4"/>
          <w:kern w:val="0"/>
          <w:sz w:val="24"/>
          <w:highlight w:val="none"/>
        </w:rPr>
        <w:t>②提交有效的分包意向协议。</w:t>
      </w:r>
    </w:p>
    <w:p>
      <w:pPr>
        <w:snapToGrid w:val="0"/>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5</w:t>
      </w:r>
      <w:r>
        <w:rPr>
          <w:rFonts w:hint="eastAsia" w:ascii="宋体" w:hAnsi="宋体" w:cs="宋体"/>
          <w:color w:val="auto"/>
          <w:sz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三、获取采购文件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时间：</w:t>
      </w:r>
      <w:r>
        <w:rPr>
          <w:rFonts w:hint="eastAsia" w:ascii="宋体" w:hAnsi="宋体" w:cs="宋体"/>
          <w:color w:val="auto"/>
          <w:sz w:val="24"/>
          <w:highlight w:val="none"/>
        </w:rPr>
        <w:t>/至</w:t>
      </w:r>
      <w:r>
        <w:rPr>
          <w:rFonts w:hint="eastAsia" w:ascii="宋体" w:hAnsi="宋体" w:cs="宋体"/>
          <w:color w:val="auto"/>
          <w:sz w:val="24"/>
          <w:highlight w:val="none"/>
          <w:u w:val="single"/>
        </w:rPr>
        <w:t>2023年</w:t>
      </w:r>
      <w:r>
        <w:rPr>
          <w:rFonts w:hint="eastAsia" w:ascii="宋体" w:hAnsi="宋体" w:cs="宋体"/>
          <w:color w:val="auto"/>
          <w:sz w:val="24"/>
          <w:highlight w:val="none"/>
          <w:u w:val="single"/>
          <w:lang w:val="en-US" w:eastAsia="zh-CN"/>
        </w:rPr>
        <w:t>12</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29</w:t>
      </w:r>
      <w:r>
        <w:rPr>
          <w:rFonts w:hint="eastAsia" w:ascii="宋体" w:hAnsi="宋体" w:cs="宋体"/>
          <w:color w:val="auto"/>
          <w:sz w:val="24"/>
          <w:highlight w:val="none"/>
          <w:u w:val="single"/>
        </w:rPr>
        <w:t>日</w:t>
      </w:r>
      <w:r>
        <w:rPr>
          <w:rFonts w:hint="eastAsia" w:ascii="宋体" w:hAnsi="宋体" w:cs="宋体"/>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方式：</w:t>
      </w:r>
      <w:r>
        <w:rPr>
          <w:rFonts w:hint="eastAsia" w:ascii="宋体" w:hAnsi="宋体" w:cs="宋体"/>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售价（元）：</w:t>
      </w:r>
      <w:r>
        <w:rPr>
          <w:rFonts w:hint="eastAsia" w:ascii="宋体" w:hAnsi="宋体" w:cs="宋体"/>
          <w:color w:val="auto"/>
          <w:sz w:val="24"/>
          <w:highlight w:val="none"/>
        </w:rPr>
        <w:t xml:space="preserve">0 </w:t>
      </w:r>
      <w:r>
        <w:rPr>
          <w:rFonts w:hint="eastAsia" w:ascii="宋体" w:hAnsi="宋体" w:cs="宋体"/>
          <w:color w:val="auto"/>
          <w:sz w:val="24"/>
          <w:highlight w:val="none"/>
        </w:rPr>
        <w:tab/>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四、响应文件提交（上传）</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截止时间：</w:t>
      </w:r>
      <w:r>
        <w:rPr>
          <w:rFonts w:hint="eastAsia" w:ascii="宋体" w:hAnsi="宋体" w:cs="宋体"/>
          <w:color w:val="auto"/>
          <w:sz w:val="24"/>
          <w:highlight w:val="none"/>
          <w:u w:val="single"/>
        </w:rPr>
        <w:t xml:space="preserve"> 2023年</w:t>
      </w:r>
      <w:r>
        <w:rPr>
          <w:rFonts w:hint="eastAsia" w:ascii="宋体" w:hAnsi="宋体" w:cs="宋体"/>
          <w:color w:val="auto"/>
          <w:sz w:val="24"/>
          <w:highlight w:val="none"/>
          <w:u w:val="single"/>
          <w:lang w:val="en-US" w:eastAsia="zh-CN"/>
        </w:rPr>
        <w:t>12</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29</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14</w:t>
      </w:r>
      <w:r>
        <w:rPr>
          <w:rFonts w:hint="eastAsia" w:ascii="宋体" w:hAnsi="宋体" w:cs="宋体"/>
          <w:color w:val="auto"/>
          <w:sz w:val="24"/>
          <w:highlight w:val="none"/>
          <w:u w:val="single"/>
        </w:rPr>
        <w:t>点</w:t>
      </w:r>
      <w:r>
        <w:rPr>
          <w:rFonts w:hint="eastAsia" w:ascii="宋体" w:hAnsi="宋体" w:cs="宋体"/>
          <w:color w:val="auto"/>
          <w:sz w:val="24"/>
          <w:highlight w:val="none"/>
          <w:u w:val="single"/>
          <w:lang w:val="en-US" w:eastAsia="zh-CN"/>
        </w:rPr>
        <w:t>00</w:t>
      </w:r>
      <w:r>
        <w:rPr>
          <w:rFonts w:hint="eastAsia" w:ascii="宋体" w:hAnsi="宋体" w:cs="宋体"/>
          <w:color w:val="auto"/>
          <w:sz w:val="24"/>
          <w:highlight w:val="none"/>
          <w:u w:val="single"/>
        </w:rPr>
        <w:t>分</w:t>
      </w:r>
      <w:r>
        <w:rPr>
          <w:rFonts w:hint="eastAsia" w:ascii="宋体" w:hAnsi="宋体" w:cs="宋体"/>
          <w:bCs/>
          <w:color w:val="auto"/>
          <w:sz w:val="24"/>
          <w:highlight w:val="none"/>
          <w:u w:val="single"/>
        </w:rPr>
        <w:t xml:space="preserve"> </w:t>
      </w:r>
      <w:r>
        <w:rPr>
          <w:rFonts w:hint="eastAsia" w:ascii="宋体" w:hAnsi="宋体" w:cs="宋体"/>
          <w:color w:val="auto"/>
          <w:sz w:val="24"/>
          <w:highlight w:val="none"/>
        </w:rPr>
        <w:t>（北京时间）</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地点（网址）：</w:t>
      </w:r>
      <w:r>
        <w:rPr>
          <w:rFonts w:hint="eastAsia" w:ascii="宋体" w:hAnsi="宋体" w:cs="宋体"/>
          <w:color w:val="auto"/>
          <w:sz w:val="24"/>
          <w:highlight w:val="none"/>
        </w:rPr>
        <w:t xml:space="preserve">政采云平台（https://www.zcygov.cn/） </w:t>
      </w:r>
    </w:p>
    <w:p>
      <w:pPr>
        <w:spacing w:line="360" w:lineRule="auto"/>
        <w:rPr>
          <w:rFonts w:ascii="宋体" w:hAnsi="宋体" w:cs="宋体"/>
          <w:color w:val="auto"/>
          <w:sz w:val="24"/>
          <w:highlight w:val="none"/>
        </w:rPr>
      </w:pPr>
      <w:r>
        <w:rPr>
          <w:rFonts w:hint="eastAsia" w:ascii="宋体" w:hAnsi="宋体" w:cs="宋体"/>
          <w:b/>
          <w:color w:val="auto"/>
          <w:sz w:val="24"/>
          <w:highlight w:val="none"/>
        </w:rPr>
        <w:t xml:space="preserve">五、响应文件开启 </w:t>
      </w:r>
    </w:p>
    <w:p>
      <w:pPr>
        <w:spacing w:line="360" w:lineRule="auto"/>
        <w:ind w:firstLine="482" w:firstLineChars="200"/>
        <w:rPr>
          <w:rFonts w:ascii="宋体" w:hAnsi="宋体" w:cs="宋体"/>
          <w:bCs/>
          <w:color w:val="auto"/>
          <w:sz w:val="24"/>
          <w:highlight w:val="none"/>
          <w:u w:val="single"/>
        </w:rPr>
      </w:pPr>
      <w:r>
        <w:rPr>
          <w:rFonts w:hint="eastAsia" w:ascii="宋体" w:hAnsi="宋体" w:cs="宋体"/>
          <w:b/>
          <w:color w:val="auto"/>
          <w:sz w:val="24"/>
          <w:highlight w:val="none"/>
        </w:rPr>
        <w:t>开启时间：</w:t>
      </w:r>
      <w:r>
        <w:rPr>
          <w:rFonts w:hint="eastAsia" w:ascii="宋体" w:hAnsi="宋体" w:cs="宋体"/>
          <w:color w:val="auto"/>
          <w:sz w:val="24"/>
          <w:highlight w:val="none"/>
          <w:u w:val="single"/>
        </w:rPr>
        <w:t>2023年</w:t>
      </w:r>
      <w:r>
        <w:rPr>
          <w:rFonts w:hint="eastAsia" w:ascii="宋体" w:hAnsi="宋体" w:cs="宋体"/>
          <w:color w:val="auto"/>
          <w:sz w:val="24"/>
          <w:highlight w:val="none"/>
          <w:u w:val="single"/>
          <w:lang w:val="en-US" w:eastAsia="zh-CN"/>
        </w:rPr>
        <w:t>12</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29</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14</w:t>
      </w:r>
      <w:r>
        <w:rPr>
          <w:rFonts w:hint="eastAsia" w:ascii="宋体" w:hAnsi="宋体" w:cs="宋体"/>
          <w:color w:val="auto"/>
          <w:sz w:val="24"/>
          <w:highlight w:val="none"/>
          <w:u w:val="single"/>
        </w:rPr>
        <w:t>点</w:t>
      </w:r>
      <w:r>
        <w:rPr>
          <w:rFonts w:hint="eastAsia" w:ascii="宋体" w:hAnsi="宋体" w:cs="宋体"/>
          <w:color w:val="auto"/>
          <w:sz w:val="24"/>
          <w:highlight w:val="none"/>
          <w:u w:val="single"/>
          <w:lang w:val="en-US" w:eastAsia="zh-CN"/>
        </w:rPr>
        <w:t>00</w:t>
      </w:r>
      <w:r>
        <w:rPr>
          <w:rFonts w:hint="eastAsia" w:ascii="宋体" w:hAnsi="宋体" w:cs="宋体"/>
          <w:color w:val="auto"/>
          <w:sz w:val="24"/>
          <w:highlight w:val="none"/>
          <w:u w:val="single"/>
        </w:rPr>
        <w:t>分</w:t>
      </w:r>
      <w:r>
        <w:rPr>
          <w:rFonts w:hint="eastAsia" w:ascii="宋体" w:hAnsi="宋体" w:cs="宋体"/>
          <w:bCs/>
          <w:color w:val="auto"/>
          <w:sz w:val="24"/>
          <w:highlight w:val="none"/>
          <w:u w:val="single"/>
        </w:rPr>
        <w:t xml:space="preserve">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地点（网址）：</w:t>
      </w:r>
      <w:r>
        <w:rPr>
          <w:rFonts w:hint="eastAsia" w:ascii="宋体" w:hAnsi="宋体" w:cs="宋体"/>
          <w:color w:val="auto"/>
          <w:sz w:val="24"/>
          <w:highlight w:val="none"/>
        </w:rPr>
        <w:t>政采云平台（https://www.zcygov.cn/）</w:t>
      </w:r>
    </w:p>
    <w:p>
      <w:pPr>
        <w:spacing w:line="360" w:lineRule="auto"/>
        <w:rPr>
          <w:rFonts w:ascii="宋体" w:hAnsi="宋体" w:cs="宋体"/>
          <w:color w:val="auto"/>
          <w:sz w:val="24"/>
          <w:highlight w:val="none"/>
        </w:rPr>
      </w:pPr>
      <w:r>
        <w:rPr>
          <w:rFonts w:hint="eastAsia" w:ascii="宋体" w:hAnsi="宋体" w:cs="宋体"/>
          <w:b/>
          <w:color w:val="auto"/>
          <w:sz w:val="24"/>
          <w:highlight w:val="none"/>
        </w:rPr>
        <w:t xml:space="preserve">六、公告期限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自本公告发布之日起3个工作日。</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七、其他补充事宜</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1.《浙江省财政厅关于进一步发挥政府采购政策功能全力推动经济稳进提质的通知》 （浙财采监（2022）3号）、《浙江省财政厅关于进一步促进政府采购公平竞争打造最优营商环境的通知》（浙财采监（2021）22号）、《</w:t>
      </w:r>
      <w:r>
        <w:rPr>
          <w:rFonts w:ascii="华文中宋" w:hAnsi="华文中宋" w:eastAsia="华文中宋" w:cs="华文中宋"/>
          <w:color w:val="auto"/>
          <w:sz w:val="24"/>
          <w:highlight w:val="none"/>
          <w:shd w:val="clear" w:color="auto" w:fill="FFFFFF"/>
        </w:rPr>
        <w:t>浙江省财政厅关于进一步加大政府采购 支持中小企业力度 助力扎实稳住经济 的通知</w:t>
      </w:r>
      <w:r>
        <w:rPr>
          <w:rFonts w:hint="eastAsia" w:ascii="华文中宋" w:hAnsi="华文中宋" w:eastAsia="华文中宋" w:cs="华文中宋"/>
          <w:color w:val="auto"/>
          <w:sz w:val="24"/>
          <w:highlight w:val="none"/>
          <w:shd w:val="clear" w:color="auto" w:fill="FFFFFF"/>
        </w:rPr>
        <w:t>》（浙财采监〔2022〕8号）</w:t>
      </w:r>
      <w:r>
        <w:rPr>
          <w:rFonts w:hint="eastAsia" w:ascii="宋体" w:hAnsi="宋体" w:cs="宋体"/>
          <w:color w:val="auto"/>
          <w:sz w:val="24"/>
          <w:highlight w:val="none"/>
        </w:rPr>
        <w:t>已分别于2022年1月29日、2022年2月1日和2022年7月1日开始实施，此前有关规定与上述文件内容不一致的，按上述文件要求执行。</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其他事项：（1）需要落实的政府采购政策：包括节约资源、保护环境、支持创新、促进中小企业发展等。详见采购文件的第二部分总则。（2）电子交易的说明：①电子交易：本项目以数据电文形式，依托“政府采购云平台（www.zcygov.cn）”进行招投标活动，不接受纸质响应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采购文件的获取：使用账号登录或者使用CA登录政采云平台；进入“项目采购”应用，在获取采购文件菜单中选择项目，获取采购文件；④响应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采购文件的供应商进行投标活动； ⑥对未按上述方式获取采购文件的供应商对该文件提出的质疑，采购人或采购代理机构将不予处理；⑦不提供采购文件纸质版；⑧响应文件的传输递交：供应商在响应文件提交（上传）截止时间前将加密的响应文件上传至政府采购云平台，还可以在响应文件提交（上传）截止时间前直接提交或者以邮政快递方式递交备份响应文件1份。备份响应文件的制作、存储、密封详见采购文件第二部分第15点—“备份响应文件”；⑨响应文件的解密：供应商按照平台提示和采购文件的规定在半小时内完成在线解密。通过“政府采购云平台”上传递交的响应文件无法按时解密，供应商递交了备份响应文件的，以备份响应文件为依据，否则视为响应文件撤回。通过“政府采购云平台”上传递交的响应文件已按时解密的，备份响应文件自动失效。供应商仅提交备份响应文件，未在电子交易平台传输递交响应文件的，响应文件无效；⑩具体操作指南：详见政采云平台“服务中心-帮助文档-项目采购-操作流程-电子招投标-政府采购项目电子交易管理操作指南-供应商”。（3）采购文件公告期限与竞争性磋商公告的公告期限一致。</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八、对本次采购提出询问、质疑、投诉，请按以下方式联系</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1.采购人信息</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名    称：杭州市第七人民医院</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地    址：杭州市天目山路305号</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传    真： /</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项目联系人（询问）：王老师</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项目联系方式（询问）：0571-85126608</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质疑联系人：周女士</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质疑联系方式：0571-85126608</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2.采购代理机构信息</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名    称：浙江豪圣建设项目管理有限公司</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地    址：杭州市拱墅区大关路179号远洋国际中心A座17楼1706室</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传    真：/</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项目联系人（询问）：陈梦菲、曹剑斌、陈敏娇</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项目联系方式（询问）：0571-87981527</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质疑联系人：刘先成</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质疑联系方式：0571-56386096</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3.同级政府采购监督管理部门</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名    称：杭州市财政局政府采购监管处 /浙江省政府采购行政裁决服务中心（杭州）</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地    址：杭州市上城区四季青街道新业路市民之家G03办公室（快递仅限ems或顺丰）</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传    真：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联系人 ：朱女士、王女士</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监督投诉电话：电话：0571-85252453</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政策咨询：陈先生、厉先生，0571-89580460、89580456</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若对项目采购电子交易系统操作有疑问，可登录政采云（https://www.zcygov.cn/），点击右侧咨询小采，获取采小蜜智能服务管家帮助，或拨打政采云服务热线</w:t>
      </w:r>
      <w:r>
        <w:rPr>
          <w:rFonts w:hint="eastAsia" w:asciiTheme="minorEastAsia" w:hAnsiTheme="minorEastAsia" w:eastAsiaTheme="minorEastAsia"/>
          <w:color w:val="auto"/>
          <w:sz w:val="24"/>
          <w:highlight w:val="none"/>
        </w:rPr>
        <w:t>95763</w:t>
      </w:r>
      <w:r>
        <w:rPr>
          <w:rFonts w:hint="eastAsia" w:ascii="宋体" w:hAnsi="宋体" w:cs="宋体"/>
          <w:color w:val="auto"/>
          <w:sz w:val="24"/>
          <w:highlight w:val="none"/>
        </w:rPr>
        <w:t>获取热线服务帮助。</w:t>
      </w:r>
    </w:p>
    <w:p>
      <w:pPr>
        <w:snapToGrid w:val="0"/>
        <w:spacing w:line="360" w:lineRule="auto"/>
        <w:ind w:firstLine="480" w:firstLineChars="200"/>
        <w:rPr>
          <w:rFonts w:ascii="宋体" w:hAnsi="宋体" w:cs="宋体"/>
          <w:color w:val="auto"/>
          <w:sz w:val="24"/>
          <w:highlight w:val="none"/>
        </w:rPr>
        <w:sectPr>
          <w:headerReference r:id="rId4" w:type="first"/>
          <w:footerReference r:id="rId7" w:type="first"/>
          <w:headerReference r:id="rId3" w:type="default"/>
          <w:footerReference r:id="rId5" w:type="default"/>
          <w:footerReference r:id="rId6" w:type="even"/>
          <w:pgSz w:w="11906" w:h="16838"/>
          <w:pgMar w:top="1440" w:right="1080" w:bottom="1440" w:left="1080" w:header="851" w:footer="992" w:gutter="0"/>
          <w:cols w:space="720" w:num="1"/>
          <w:titlePg/>
          <w:docGrid w:linePitch="312" w:charSpace="0"/>
        </w:sectPr>
      </w:pPr>
      <w:r>
        <w:rPr>
          <w:rFonts w:hint="eastAsia" w:ascii="宋体" w:hAnsi="宋体" w:cs="宋体"/>
          <w:color w:val="auto"/>
          <w:sz w:val="24"/>
          <w:highlight w:val="none"/>
        </w:rPr>
        <w:t>CA问题联系电话（人工）：汇信CA 400-888-4636；天谷CA 400-087-8198。</w:t>
      </w:r>
    </w:p>
    <w:p>
      <w:pPr>
        <w:pStyle w:val="34"/>
        <w:spacing w:line="360" w:lineRule="auto"/>
        <w:jc w:val="center"/>
        <w:rPr>
          <w:rFonts w:hAnsi="宋体" w:cs="宋体"/>
          <w:b/>
          <w:snapToGrid/>
          <w:color w:val="auto"/>
          <w:sz w:val="36"/>
          <w:szCs w:val="20"/>
          <w:highlight w:val="none"/>
        </w:rPr>
      </w:pPr>
      <w:r>
        <w:rPr>
          <w:rFonts w:hint="eastAsia" w:hAnsi="宋体" w:cs="宋体"/>
          <w:b/>
          <w:snapToGrid/>
          <w:color w:val="auto"/>
          <w:sz w:val="36"/>
          <w:szCs w:val="20"/>
          <w:highlight w:val="none"/>
        </w:rPr>
        <w:t>第二部分</w:t>
      </w:r>
      <w:bookmarkEnd w:id="8"/>
      <w:r>
        <w:rPr>
          <w:rFonts w:hint="eastAsia" w:hAnsi="宋体" w:cs="宋体"/>
          <w:b/>
          <w:snapToGrid/>
          <w:color w:val="auto"/>
          <w:sz w:val="36"/>
          <w:szCs w:val="20"/>
          <w:highlight w:val="none"/>
        </w:rPr>
        <w:t xml:space="preserve"> 供应商须知</w:t>
      </w:r>
      <w:bookmarkEnd w:id="9"/>
    </w:p>
    <w:p>
      <w:pPr>
        <w:snapToGrid w:val="0"/>
        <w:spacing w:line="360" w:lineRule="auto"/>
        <w:jc w:val="center"/>
        <w:rPr>
          <w:rFonts w:ascii="宋体" w:hAnsi="宋体" w:cs="宋体"/>
          <w:b/>
          <w:color w:val="auto"/>
          <w:sz w:val="32"/>
          <w:szCs w:val="20"/>
          <w:highlight w:val="none"/>
        </w:rPr>
      </w:pPr>
      <w:r>
        <w:rPr>
          <w:rFonts w:hint="eastAsia" w:ascii="宋体" w:hAnsi="宋体" w:cs="宋体"/>
          <w:b/>
          <w:color w:val="auto"/>
          <w:sz w:val="32"/>
          <w:szCs w:val="20"/>
          <w:highlight w:val="none"/>
        </w:rPr>
        <w:t>前附表</w:t>
      </w:r>
    </w:p>
    <w:tbl>
      <w:tblPr>
        <w:tblStyle w:val="63"/>
        <w:tblW w:w="97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14"/>
        <w:gridCol w:w="2093"/>
        <w:gridCol w:w="6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0" w:hRule="atLeast"/>
        </w:trPr>
        <w:tc>
          <w:tcPr>
            <w:tcW w:w="714" w:type="dxa"/>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2093" w:type="dxa"/>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事项</w:t>
            </w:r>
          </w:p>
        </w:tc>
        <w:tc>
          <w:tcPr>
            <w:tcW w:w="6927" w:type="dxa"/>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6" w:hRule="atLeast"/>
        </w:trPr>
        <w:tc>
          <w:tcPr>
            <w:tcW w:w="714"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2093" w:type="dxa"/>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项目属性</w:t>
            </w:r>
          </w:p>
        </w:tc>
        <w:tc>
          <w:tcPr>
            <w:tcW w:w="6927" w:type="dxa"/>
            <w:vAlign w:val="center"/>
          </w:tcPr>
          <w:p>
            <w:pPr>
              <w:spacing w:line="360" w:lineRule="auto"/>
              <w:rPr>
                <w:rFonts w:ascii="宋体" w:hAnsi="宋体" w:cs="宋体"/>
                <w:color w:val="auto"/>
                <w:sz w:val="24"/>
                <w:highlight w:val="none"/>
              </w:rPr>
            </w:pPr>
            <w:r>
              <w:rPr>
                <w:rFonts w:hint="eastAsia" w:ascii="宋体" w:hAnsi="宋体" w:cs="宋体"/>
                <w:color w:val="auto"/>
                <w:kern w:val="0"/>
                <w:sz w:val="24"/>
                <w:highlight w:val="none"/>
              </w:rPr>
              <w:t>工程</w:t>
            </w:r>
            <w:r>
              <w:rPr>
                <w:rFonts w:hint="eastAsia" w:ascii="宋体" w:hAnsi="宋体" w:cs="宋体"/>
                <w:color w:val="auto"/>
                <w:sz w:val="24"/>
                <w:highlight w:val="none"/>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86" w:hRule="atLeast"/>
        </w:trPr>
        <w:tc>
          <w:tcPr>
            <w:tcW w:w="714"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2093" w:type="dxa"/>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采购标的及其对应的中小企业划分标准所属行业</w:t>
            </w:r>
          </w:p>
        </w:tc>
        <w:tc>
          <w:tcPr>
            <w:tcW w:w="6927" w:type="dxa"/>
            <w:vAlign w:val="center"/>
          </w:tcPr>
          <w:p>
            <w:pPr>
              <w:snapToGrid w:val="0"/>
              <w:rPr>
                <w:rFonts w:ascii="宋体" w:hAnsi="宋体" w:cs="宋体"/>
                <w:color w:val="auto"/>
                <w:highlight w:val="none"/>
              </w:rPr>
            </w:pPr>
            <w:r>
              <w:rPr>
                <w:rFonts w:hint="eastAsia" w:ascii="宋体" w:hAnsi="宋体" w:cs="宋体"/>
                <w:color w:val="auto"/>
                <w:kern w:val="0"/>
                <w:sz w:val="24"/>
                <w:highlight w:val="none"/>
              </w:rPr>
              <w:t>（1）标的：</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u w:val="single"/>
              </w:rPr>
              <w:t>施工</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，属于</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u w:val="single"/>
              </w:rPr>
              <w:t>建筑业</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行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83" w:hRule="atLeast"/>
        </w:trPr>
        <w:tc>
          <w:tcPr>
            <w:tcW w:w="714"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3</w:t>
            </w:r>
          </w:p>
        </w:tc>
        <w:tc>
          <w:tcPr>
            <w:tcW w:w="2093" w:type="dxa"/>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是否允许采购进口产品</w:t>
            </w:r>
          </w:p>
        </w:tc>
        <w:tc>
          <w:tcPr>
            <w:tcW w:w="6927" w:type="dxa"/>
            <w:vAlign w:val="center"/>
          </w:tcPr>
          <w:p>
            <w:pPr>
              <w:rPr>
                <w:rFonts w:ascii="宋体" w:hAnsi="宋体" w:cs="宋体"/>
                <w:color w:val="auto"/>
                <w:kern w:val="0"/>
                <w:sz w:val="24"/>
                <w:highlight w:val="none"/>
              </w:rPr>
            </w:pPr>
            <w:sdt>
              <w:sdtPr>
                <w:rPr>
                  <w:rFonts w:hint="eastAsia" w:ascii="宋体" w:hAnsi="宋体" w:cs="宋体"/>
                  <w:color w:val="auto"/>
                  <w:kern w:val="0"/>
                  <w:sz w:val="24"/>
                  <w:highlight w:val="none"/>
                </w:rPr>
                <w:id w:val="-1828425707"/>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sym w:font="Wingdings" w:char="F0FE"/>
                </w:r>
              </w:sdtContent>
            </w:sdt>
            <w:r>
              <w:rPr>
                <w:rFonts w:hint="eastAsia" w:ascii="宋体" w:hAnsi="宋体" w:cs="宋体"/>
                <w:color w:val="auto"/>
                <w:kern w:val="0"/>
                <w:sz w:val="24"/>
                <w:highlight w:val="none"/>
              </w:rPr>
              <w:t>本项目不允许采购进口产品。</w:t>
            </w:r>
          </w:p>
          <w:p>
            <w:pPr>
              <w:rPr>
                <w:rFonts w:ascii="宋体" w:hAnsi="宋体" w:cs="宋体"/>
                <w:color w:val="auto"/>
                <w:highlight w:val="none"/>
              </w:rPr>
            </w:pPr>
            <w:sdt>
              <w:sdtPr>
                <w:rPr>
                  <w:rFonts w:hint="eastAsia" w:ascii="宋体" w:hAnsi="宋体" w:cs="宋体"/>
                  <w:color w:val="auto"/>
                  <w:kern w:val="0"/>
                  <w:sz w:val="24"/>
                  <w:highlight w:val="none"/>
                </w:rPr>
                <w:id w:val="-5285282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可以就</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87" w:hRule="atLeast"/>
        </w:trPr>
        <w:tc>
          <w:tcPr>
            <w:tcW w:w="714"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4</w:t>
            </w:r>
          </w:p>
        </w:tc>
        <w:tc>
          <w:tcPr>
            <w:tcW w:w="2093" w:type="dxa"/>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分包</w:t>
            </w:r>
          </w:p>
        </w:tc>
        <w:tc>
          <w:tcPr>
            <w:tcW w:w="6927" w:type="dxa"/>
            <w:vAlign w:val="center"/>
          </w:tcPr>
          <w:p>
            <w:pPr>
              <w:rPr>
                <w:rFonts w:ascii="宋体" w:hAnsi="宋体" w:cs="宋体"/>
                <w:color w:val="auto"/>
                <w:sz w:val="24"/>
                <w:highlight w:val="none"/>
              </w:rPr>
            </w:pPr>
            <w:sdt>
              <w:sdtPr>
                <w:rPr>
                  <w:rFonts w:hint="eastAsia" w:ascii="宋体" w:hAnsi="宋体" w:cs="宋体"/>
                  <w:color w:val="auto"/>
                  <w:kern w:val="0"/>
                  <w:sz w:val="24"/>
                  <w:highlight w:val="none"/>
                </w:rPr>
                <w:id w:val="-1477286927"/>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Wingdings" w:hAnsi="Wingdings" w:cs="宋体"/>
                    <w:color w:val="auto"/>
                    <w:kern w:val="0"/>
                    <w:sz w:val="24"/>
                    <w:highlight w:val="none"/>
                  </w:rPr>
                  <w:t></w:t>
                </w:r>
              </w:sdtContent>
            </w:sdt>
            <w:r>
              <w:rPr>
                <w:rFonts w:hint="eastAsia" w:ascii="宋体" w:hAnsi="宋体" w:cs="宋体"/>
                <w:color w:val="auto"/>
                <w:kern w:val="0"/>
                <w:sz w:val="24"/>
                <w:highlight w:val="none"/>
              </w:rPr>
              <w:t xml:space="preserve"> A</w:t>
            </w:r>
            <w:r>
              <w:rPr>
                <w:rFonts w:hint="eastAsia" w:ascii="宋体" w:hAnsi="宋体" w:cs="宋体"/>
                <w:color w:val="auto"/>
                <w:sz w:val="24"/>
                <w:highlight w:val="none"/>
              </w:rPr>
              <w:t>同意将非主体、非关键性的</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rPr>
              <w:t>劳务</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工作分包。</w:t>
            </w:r>
          </w:p>
          <w:p>
            <w:pPr>
              <w:rPr>
                <w:rFonts w:ascii="宋体" w:hAnsi="宋体" w:cs="宋体"/>
                <w:color w:val="auto"/>
                <w:sz w:val="24"/>
                <w:highlight w:val="none"/>
              </w:rPr>
            </w:pPr>
            <w:sdt>
              <w:sdtPr>
                <w:rPr>
                  <w:rFonts w:hint="eastAsia" w:ascii="宋体" w:hAnsi="宋体" w:cs="宋体"/>
                  <w:color w:val="auto"/>
                  <w:kern w:val="0"/>
                  <w:sz w:val="24"/>
                  <w:highlight w:val="none"/>
                </w:rPr>
                <w:id w:val="-1276331357"/>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cs="宋体"/>
                    <w:color w:val="auto"/>
                    <w:kern w:val="0"/>
                    <w:sz w:val="24"/>
                    <w:highlight w:val="none"/>
                  </w:rPr>
                  <w:t>☐</w:t>
                </w:r>
              </w:sdtContent>
            </w:sdt>
            <w:r>
              <w:rPr>
                <w:rFonts w:hint="eastAsia" w:ascii="宋体" w:hAnsi="宋体" w:cs="宋体"/>
                <w:color w:val="auto"/>
                <w:kern w:val="0"/>
                <w:sz w:val="24"/>
                <w:highlight w:val="none"/>
              </w:rPr>
              <w:t xml:space="preserve"> B</w:t>
            </w:r>
            <w:r>
              <w:rPr>
                <w:rFonts w:hint="eastAsia" w:ascii="宋体" w:hAnsi="宋体" w:cs="宋体"/>
                <w:color w:val="auto"/>
                <w:sz w:val="24"/>
                <w:highlight w:val="none"/>
              </w:rPr>
              <w:t>不同意分包，具体理由：</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rPr>
                <w:rFonts w:ascii="宋体" w:hAnsi="宋体" w:cs="宋体"/>
                <w:color w:val="auto"/>
                <w:sz w:val="24"/>
                <w:highlight w:val="none"/>
              </w:rPr>
            </w:pPr>
            <w:r>
              <w:rPr>
                <w:rFonts w:hint="eastAsia" w:ascii="宋体" w:hAnsi="宋体" w:cs="宋体"/>
                <w:color w:val="auto"/>
                <w:sz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95" w:hRule="atLeast"/>
        </w:trPr>
        <w:tc>
          <w:tcPr>
            <w:tcW w:w="714"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5</w:t>
            </w:r>
          </w:p>
        </w:tc>
        <w:tc>
          <w:tcPr>
            <w:tcW w:w="2093" w:type="dxa"/>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磋商前答疑会或现场考察</w:t>
            </w:r>
          </w:p>
        </w:tc>
        <w:tc>
          <w:tcPr>
            <w:tcW w:w="6927" w:type="dxa"/>
            <w:vAlign w:val="center"/>
          </w:tcPr>
          <w:p>
            <w:pPr>
              <w:rPr>
                <w:rFonts w:ascii="宋体" w:hAnsi="宋体" w:cs="宋体"/>
                <w:color w:val="auto"/>
                <w:sz w:val="24"/>
                <w:highlight w:val="none"/>
              </w:rPr>
            </w:pPr>
            <w:sdt>
              <w:sdtPr>
                <w:rPr>
                  <w:rFonts w:hint="eastAsia" w:ascii="宋体" w:hAnsi="宋体" w:cs="宋体"/>
                  <w:color w:val="auto"/>
                  <w:kern w:val="0"/>
                  <w:sz w:val="24"/>
                  <w:highlight w:val="none"/>
                </w:rPr>
                <w:id w:val="-212966419"/>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sym w:font="Wingdings" w:char="F0FE"/>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不组织。</w:t>
            </w:r>
          </w:p>
          <w:p>
            <w:pPr>
              <w:rPr>
                <w:rFonts w:ascii="宋体" w:hAnsi="宋体" w:cs="宋体"/>
                <w:color w:val="auto"/>
                <w:sz w:val="24"/>
                <w:szCs w:val="20"/>
                <w:highlight w:val="none"/>
              </w:rPr>
            </w:pPr>
            <w:sdt>
              <w:sdtPr>
                <w:rPr>
                  <w:rFonts w:hint="eastAsia" w:ascii="宋体" w:hAnsi="宋体" w:cs="宋体"/>
                  <w:color w:val="auto"/>
                  <w:kern w:val="0"/>
                  <w:sz w:val="24"/>
                  <w:highlight w:val="none"/>
                </w:rPr>
                <w:id w:val="-99980297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B组织，</w:t>
            </w:r>
            <w:r>
              <w:rPr>
                <w:rFonts w:hint="eastAsia" w:ascii="宋体" w:hAnsi="宋体" w:cs="宋体"/>
                <w:color w:val="auto"/>
                <w:sz w:val="24"/>
                <w:highlight w:val="none"/>
              </w:rPr>
              <w:t>时间：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,地点：</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，联系人：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，联系方式：</w:t>
            </w:r>
            <w:r>
              <w:rPr>
                <w:rFonts w:hint="eastAsia" w:ascii="宋体" w:hAnsi="宋体" w:cs="宋体"/>
                <w:color w:val="auto"/>
                <w:sz w:val="24"/>
                <w:highlight w:val="none"/>
                <w:u w:val="single"/>
              </w:rPr>
              <w:t xml:space="preserve">      </w:t>
            </w:r>
            <w:r>
              <w:rPr>
                <w:rFonts w:hint="eastAsia" w:ascii="宋体" w:hAnsi="宋体" w:cs="宋体"/>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61" w:hRule="atLeast"/>
        </w:trPr>
        <w:tc>
          <w:tcPr>
            <w:tcW w:w="714"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6</w:t>
            </w:r>
          </w:p>
        </w:tc>
        <w:tc>
          <w:tcPr>
            <w:tcW w:w="2093" w:type="dxa"/>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样品提供</w:t>
            </w:r>
          </w:p>
        </w:tc>
        <w:tc>
          <w:tcPr>
            <w:tcW w:w="6927" w:type="dxa"/>
            <w:vAlign w:val="center"/>
          </w:tcPr>
          <w:p>
            <w:pPr>
              <w:rPr>
                <w:rFonts w:ascii="宋体" w:hAnsi="宋体" w:cs="宋体"/>
                <w:color w:val="auto"/>
                <w:sz w:val="24"/>
                <w:highlight w:val="none"/>
              </w:rPr>
            </w:pPr>
            <w:sdt>
              <w:sdtPr>
                <w:rPr>
                  <w:rFonts w:hint="eastAsia" w:ascii="宋体" w:hAnsi="宋体" w:cs="宋体"/>
                  <w:color w:val="auto"/>
                  <w:kern w:val="0"/>
                  <w:sz w:val="24"/>
                  <w:highlight w:val="none"/>
                </w:rPr>
                <w:id w:val="-1639946486"/>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Wingdings" w:hAnsi="Wingdings" w:cs="宋体"/>
                    <w:color w:val="auto"/>
                    <w:kern w:val="0"/>
                    <w:sz w:val="24"/>
                    <w:highlight w:val="none"/>
                  </w:rPr>
                  <w:t></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不要求提供。</w:t>
            </w:r>
          </w:p>
          <w:p>
            <w:pPr>
              <w:rPr>
                <w:rFonts w:ascii="宋体" w:hAnsi="宋体" w:cs="宋体"/>
                <w:color w:val="auto"/>
                <w:kern w:val="0"/>
                <w:sz w:val="24"/>
                <w:highlight w:val="none"/>
              </w:rPr>
            </w:pPr>
            <w:sdt>
              <w:sdtPr>
                <w:rPr>
                  <w:rFonts w:hint="eastAsia" w:ascii="宋体" w:hAnsi="宋体" w:cs="宋体"/>
                  <w:color w:val="auto"/>
                  <w:kern w:val="0"/>
                  <w:sz w:val="24"/>
                  <w:highlight w:val="none"/>
                </w:rPr>
                <w:id w:val="1026831988"/>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cs="宋体"/>
                    <w:color w:val="auto"/>
                    <w:kern w:val="0"/>
                    <w:sz w:val="24"/>
                    <w:highlight w:val="none"/>
                  </w:rPr>
                  <w:t>☐</w:t>
                </w:r>
              </w:sdtContent>
            </w:sdt>
            <w:r>
              <w:rPr>
                <w:rFonts w:hint="eastAsia" w:ascii="宋体" w:hAnsi="宋体" w:cs="宋体"/>
                <w:color w:val="auto"/>
                <w:kern w:val="0"/>
                <w:sz w:val="24"/>
                <w:highlight w:val="none"/>
              </w:rPr>
              <w:t>B要求提供，</w:t>
            </w:r>
          </w:p>
          <w:p>
            <w:pPr>
              <w:rPr>
                <w:rFonts w:ascii="宋体" w:hAnsi="宋体" w:cs="宋体"/>
                <w:color w:val="auto"/>
                <w:kern w:val="0"/>
                <w:sz w:val="24"/>
                <w:highlight w:val="none"/>
              </w:rPr>
            </w:pPr>
            <w:r>
              <w:rPr>
                <w:rFonts w:hint="eastAsia" w:ascii="宋体" w:hAnsi="宋体" w:cs="宋体"/>
                <w:color w:val="auto"/>
                <w:kern w:val="0"/>
                <w:sz w:val="24"/>
                <w:highlight w:val="none"/>
              </w:rPr>
              <w:t>（1）</w:t>
            </w:r>
            <w:r>
              <w:rPr>
                <w:rFonts w:hint="eastAsia" w:ascii="宋体" w:hAnsi="宋体" w:cs="宋体"/>
                <w:snapToGrid w:val="0"/>
                <w:color w:val="auto"/>
                <w:kern w:val="28"/>
                <w:sz w:val="24"/>
                <w:highlight w:val="none"/>
              </w:rPr>
              <w:t>样品：</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rPr>
                <w:rFonts w:ascii="宋体" w:hAnsi="宋体" w:cs="宋体"/>
                <w:color w:val="auto"/>
                <w:kern w:val="0"/>
                <w:sz w:val="24"/>
                <w:highlight w:val="none"/>
              </w:rPr>
            </w:pPr>
            <w:r>
              <w:rPr>
                <w:rFonts w:hint="eastAsia" w:ascii="宋体" w:hAnsi="宋体" w:cs="宋体"/>
                <w:color w:val="auto"/>
                <w:kern w:val="0"/>
                <w:sz w:val="24"/>
                <w:highlight w:val="none"/>
              </w:rPr>
              <w:t>（2）</w:t>
            </w:r>
            <w:r>
              <w:rPr>
                <w:rFonts w:hint="eastAsia" w:ascii="宋体" w:hAnsi="宋体" w:cs="宋体"/>
                <w:snapToGrid w:val="0"/>
                <w:color w:val="auto"/>
                <w:kern w:val="28"/>
                <w:sz w:val="24"/>
                <w:highlight w:val="none"/>
              </w:rPr>
              <w:t>样品制作的标准和要求：</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rPr>
                <w:rFonts w:ascii="宋体" w:hAnsi="宋体" w:cs="宋体"/>
                <w:color w:val="auto"/>
                <w:kern w:val="0"/>
                <w:sz w:val="24"/>
                <w:highlight w:val="none"/>
              </w:rPr>
            </w:pPr>
            <w:r>
              <w:rPr>
                <w:rFonts w:hint="eastAsia" w:ascii="宋体" w:hAnsi="宋体" w:cs="宋体"/>
                <w:color w:val="auto"/>
                <w:kern w:val="0"/>
                <w:sz w:val="24"/>
                <w:highlight w:val="none"/>
              </w:rPr>
              <w:t>（3）样品的评审方法以及评审标准</w:t>
            </w:r>
            <w:r>
              <w:rPr>
                <w:rFonts w:hint="eastAsia" w:ascii="宋体" w:hAnsi="宋体" w:cs="宋体"/>
                <w:snapToGrid w:val="0"/>
                <w:color w:val="auto"/>
                <w:kern w:val="28"/>
                <w:sz w:val="24"/>
                <w:highlight w:val="none"/>
              </w:rPr>
              <w:t>：详见</w:t>
            </w:r>
            <w:r>
              <w:rPr>
                <w:rFonts w:hint="eastAsia" w:ascii="宋体" w:hAnsi="宋体" w:cs="宋体"/>
                <w:color w:val="auto"/>
                <w:sz w:val="24"/>
                <w:highlight w:val="none"/>
                <w:u w:val="single"/>
              </w:rPr>
              <w:t>评审办法</w:t>
            </w:r>
            <w:r>
              <w:rPr>
                <w:rFonts w:hint="eastAsia" w:ascii="宋体" w:hAnsi="宋体" w:cs="宋体"/>
                <w:color w:val="auto"/>
                <w:kern w:val="0"/>
                <w:sz w:val="24"/>
                <w:highlight w:val="none"/>
              </w:rPr>
              <w:t>；</w:t>
            </w:r>
          </w:p>
          <w:p>
            <w:pPr>
              <w:rPr>
                <w:rFonts w:ascii="宋体" w:hAnsi="宋体" w:cs="宋体"/>
                <w:color w:val="auto"/>
                <w:kern w:val="0"/>
                <w:sz w:val="24"/>
                <w:highlight w:val="none"/>
              </w:rPr>
            </w:pPr>
            <w:r>
              <w:rPr>
                <w:rFonts w:hint="eastAsia" w:ascii="宋体" w:hAnsi="宋体" w:cs="宋体"/>
                <w:color w:val="auto"/>
                <w:kern w:val="0"/>
                <w:sz w:val="24"/>
                <w:highlight w:val="none"/>
              </w:rPr>
              <w:t>（4）是否需要随样品提交检测报告：</w:t>
            </w:r>
            <w:sdt>
              <w:sdtPr>
                <w:rPr>
                  <w:rFonts w:hint="eastAsia" w:ascii="宋体" w:hAnsi="宋体" w:cs="宋体"/>
                  <w:color w:val="auto"/>
                  <w:kern w:val="0"/>
                  <w:sz w:val="24"/>
                  <w:highlight w:val="none"/>
                </w:rPr>
                <w:id w:val="130342145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cs="宋体"/>
                    <w:color w:val="auto"/>
                    <w:kern w:val="0"/>
                    <w:sz w:val="24"/>
                    <w:highlight w:val="none"/>
                  </w:rPr>
                  <w:t>☐</w:t>
                </w:r>
              </w:sdtContent>
            </w:sdt>
            <w:r>
              <w:rPr>
                <w:rFonts w:hint="eastAsia" w:ascii="宋体" w:hAnsi="宋体" w:cs="宋体"/>
                <w:color w:val="auto"/>
                <w:kern w:val="0"/>
                <w:sz w:val="24"/>
                <w:highlight w:val="none"/>
              </w:rPr>
              <w:t>否；</w:t>
            </w:r>
            <w:sdt>
              <w:sdtPr>
                <w:rPr>
                  <w:rFonts w:hint="eastAsia" w:ascii="宋体" w:hAnsi="宋体" w:cs="宋体"/>
                  <w:color w:val="auto"/>
                  <w:kern w:val="0"/>
                  <w:sz w:val="24"/>
                  <w:highlight w:val="none"/>
                </w:rPr>
                <w:id w:val="1621728433"/>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是，检测机构的要求</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；检测内容</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rPr>
                <w:rFonts w:ascii="宋体" w:hAnsi="宋体" w:cs="宋体"/>
                <w:color w:val="auto"/>
                <w:sz w:val="24"/>
                <w:highlight w:val="none"/>
              </w:rPr>
            </w:pPr>
            <w:r>
              <w:rPr>
                <w:rFonts w:hint="eastAsia" w:ascii="宋体" w:hAnsi="宋体" w:cs="宋体"/>
                <w:color w:val="auto"/>
                <w:sz w:val="24"/>
                <w:highlight w:val="none"/>
              </w:rPr>
              <w:t>（5）提供样品的时间：</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；地点：</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；联系人</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28"/>
                <w:sz w:val="24"/>
                <w:highlight w:val="none"/>
              </w:rPr>
              <w:t>联系电话：</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。请供应商在上述时间内提供样品并按规定位置安装完毕。超过截止时间的，采购人或采购代理机构将不予接收，并将清场并封闭样品现场。</w:t>
            </w:r>
          </w:p>
          <w:p>
            <w:pPr>
              <w:rPr>
                <w:rFonts w:ascii="宋体" w:hAnsi="宋体" w:cs="宋体"/>
                <w:color w:val="auto"/>
                <w:sz w:val="24"/>
                <w:highlight w:val="none"/>
              </w:rPr>
            </w:pPr>
            <w:r>
              <w:rPr>
                <w:rFonts w:hint="eastAsia" w:ascii="宋体" w:hAnsi="宋体" w:cs="宋体"/>
                <w:color w:val="auto"/>
                <w:sz w:val="24"/>
                <w:highlight w:val="none"/>
              </w:rPr>
              <w:t xml:space="preserve"> (6)采购活动结束后，对于未成交供应商提供的样品，采购人、采购代理机构将通知未成交供应商在规定的时间内取回，逾期未取回的，采购人、采购代理机构不负保管义务；对于成交供应商提供的样品，采购人将进行保管、封存，并作为履约验收的参考。</w:t>
            </w:r>
          </w:p>
          <w:p>
            <w:pPr>
              <w:rPr>
                <w:rFonts w:ascii="宋体" w:hAnsi="宋体" w:cs="宋体"/>
                <w:b/>
                <w:color w:val="auto"/>
                <w:sz w:val="24"/>
                <w:highlight w:val="none"/>
              </w:rPr>
            </w:pPr>
            <w:r>
              <w:rPr>
                <w:rFonts w:hint="eastAsia" w:ascii="宋体" w:hAnsi="宋体" w:cs="宋体"/>
                <w:color w:val="auto"/>
                <w:sz w:val="24"/>
                <w:highlight w:val="none"/>
              </w:rPr>
              <w:t>（7）制作、运输、安装和保管样品所发生的一切费用由供应商自理。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7" w:hRule="atLeast"/>
        </w:trPr>
        <w:tc>
          <w:tcPr>
            <w:tcW w:w="714"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7</w:t>
            </w:r>
          </w:p>
        </w:tc>
        <w:tc>
          <w:tcPr>
            <w:tcW w:w="2093" w:type="dxa"/>
            <w:vAlign w:val="center"/>
          </w:tcPr>
          <w:p>
            <w:pPr>
              <w:snapToGrid w:val="0"/>
              <w:spacing w:line="360" w:lineRule="auto"/>
              <w:jc w:val="center"/>
              <w:rPr>
                <w:rFonts w:ascii="宋体" w:hAnsi="宋体" w:cs="宋体"/>
                <w:bCs/>
                <w:color w:val="auto"/>
                <w:sz w:val="24"/>
                <w:highlight w:val="none"/>
              </w:rPr>
            </w:pPr>
            <w:r>
              <w:rPr>
                <w:rFonts w:hint="eastAsia" w:ascii="宋体" w:hAnsi="宋体" w:cs="宋体"/>
                <w:b/>
                <w:color w:val="auto"/>
                <w:sz w:val="24"/>
                <w:highlight w:val="none"/>
              </w:rPr>
              <w:t>方案讲解演示</w:t>
            </w:r>
          </w:p>
        </w:tc>
        <w:tc>
          <w:tcPr>
            <w:tcW w:w="6927" w:type="dxa"/>
            <w:vAlign w:val="center"/>
          </w:tcPr>
          <w:p>
            <w:pPr>
              <w:rPr>
                <w:rFonts w:ascii="宋体" w:hAnsi="宋体" w:cs="宋体"/>
                <w:color w:val="auto"/>
                <w:sz w:val="24"/>
                <w:highlight w:val="none"/>
              </w:rPr>
            </w:pPr>
            <w:sdt>
              <w:sdtPr>
                <w:rPr>
                  <w:rFonts w:hint="eastAsia" w:ascii="宋体" w:hAnsi="宋体" w:cs="宋体"/>
                  <w:color w:val="auto"/>
                  <w:kern w:val="0"/>
                  <w:sz w:val="24"/>
                  <w:highlight w:val="none"/>
                </w:rPr>
                <w:id w:val="-1859348549"/>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Wingdings" w:hAnsi="Wingdings" w:cs="宋体"/>
                    <w:color w:val="auto"/>
                    <w:kern w:val="0"/>
                    <w:sz w:val="24"/>
                    <w:highlight w:val="none"/>
                  </w:rPr>
                  <w:t></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不组织。</w:t>
            </w:r>
          </w:p>
          <w:p>
            <w:pPr>
              <w:rPr>
                <w:rFonts w:ascii="宋体" w:hAnsi="宋体" w:cs="宋体"/>
                <w:color w:val="auto"/>
                <w:kern w:val="0"/>
                <w:sz w:val="24"/>
                <w:highlight w:val="none"/>
              </w:rPr>
            </w:pPr>
            <w:sdt>
              <w:sdtPr>
                <w:rPr>
                  <w:rFonts w:hint="eastAsia" w:ascii="宋体" w:hAnsi="宋体" w:cs="宋体"/>
                  <w:color w:val="auto"/>
                  <w:kern w:val="0"/>
                  <w:sz w:val="24"/>
                  <w:highlight w:val="none"/>
                </w:rPr>
                <w:id w:val="1174071719"/>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B组织。</w:t>
            </w:r>
          </w:p>
          <w:p>
            <w:pPr>
              <w:snapToGrid w:val="0"/>
              <w:rPr>
                <w:rFonts w:ascii="宋体" w:hAnsi="宋体" w:cs="宋体"/>
                <w:color w:val="auto"/>
                <w:kern w:val="0"/>
                <w:sz w:val="24"/>
                <w:highlight w:val="none"/>
              </w:rPr>
            </w:pPr>
            <w:r>
              <w:rPr>
                <w:rFonts w:hint="eastAsia" w:ascii="宋体" w:hAnsi="宋体" w:cs="宋体"/>
                <w:color w:val="auto"/>
                <w:kern w:val="0"/>
                <w:sz w:val="24"/>
                <w:highlight w:val="none"/>
              </w:rPr>
              <w:t>（1）在评审时安排每个供应商进行方案讲解演示。每个供应商时间不超过</w:t>
            </w:r>
            <w:r>
              <w:rPr>
                <w:rFonts w:hint="eastAsia" w:ascii="宋体" w:hAnsi="宋体" w:cs="宋体"/>
                <w:color w:val="auto"/>
                <w:kern w:val="0"/>
                <w:sz w:val="24"/>
                <w:highlight w:val="none"/>
                <w:u w:val="single"/>
              </w:rPr>
              <w:t>20（编制时可根据项目情况进行调整）</w:t>
            </w:r>
            <w:r>
              <w:rPr>
                <w:rFonts w:hint="eastAsia" w:ascii="宋体" w:hAnsi="宋体" w:cs="宋体"/>
                <w:color w:val="auto"/>
                <w:kern w:val="0"/>
                <w:sz w:val="24"/>
                <w:highlight w:val="none"/>
              </w:rPr>
              <w:t>分钟，讲解次序以响应文件解密时间先后次序为准，讲解演示人员不超过</w:t>
            </w:r>
            <w:r>
              <w:rPr>
                <w:rFonts w:hint="eastAsia" w:ascii="宋体" w:hAnsi="宋体" w:cs="宋体"/>
                <w:color w:val="auto"/>
                <w:kern w:val="0"/>
                <w:sz w:val="24"/>
                <w:highlight w:val="none"/>
                <w:u w:val="single"/>
              </w:rPr>
              <w:t>3（编制时可根据项目情况进行调整）</w:t>
            </w:r>
            <w:r>
              <w:rPr>
                <w:rFonts w:hint="eastAsia" w:ascii="宋体" w:hAnsi="宋体" w:cs="宋体"/>
                <w:color w:val="auto"/>
                <w:kern w:val="0"/>
                <w:sz w:val="24"/>
                <w:highlight w:val="none"/>
              </w:rPr>
              <w:t>人。讲解演示结束后按要求解答磋商小组提问。</w:t>
            </w:r>
          </w:p>
          <w:p>
            <w:pPr>
              <w:snapToGrid w:val="0"/>
              <w:rPr>
                <w:rFonts w:ascii="宋体" w:hAnsi="宋体" w:cs="宋体"/>
                <w:color w:val="auto"/>
                <w:kern w:val="0"/>
                <w:sz w:val="24"/>
                <w:highlight w:val="none"/>
              </w:rPr>
            </w:pPr>
            <w:r>
              <w:rPr>
                <w:rFonts w:hint="eastAsia" w:ascii="宋体" w:hAnsi="宋体" w:cs="宋体"/>
                <w:color w:val="auto"/>
                <w:kern w:val="0"/>
                <w:sz w:val="24"/>
                <w:highlight w:val="none"/>
              </w:rPr>
              <w:t>（2）方案讲解演示可选择以下其中一种方式：</w:t>
            </w:r>
          </w:p>
          <w:p>
            <w:pPr>
              <w:snapToGrid w:val="0"/>
              <w:rPr>
                <w:rFonts w:ascii="宋体" w:hAnsi="宋体" w:cs="宋体"/>
                <w:color w:val="auto"/>
                <w:kern w:val="0"/>
                <w:sz w:val="24"/>
                <w:highlight w:val="none"/>
              </w:rPr>
            </w:pPr>
            <w:r>
              <w:rPr>
                <w:rFonts w:hint="eastAsia" w:ascii="宋体" w:hAnsi="宋体" w:cs="宋体"/>
                <w:color w:val="auto"/>
                <w:kern w:val="0"/>
                <w:sz w:val="24"/>
                <w:highlight w:val="none"/>
              </w:rPr>
              <w:t>方式一：政采云平台在线讲解演示。政采云平台在线讲解需供应商根据政采云平台操作要求做好准备工作，提前完善软硬件配置环境。</w:t>
            </w:r>
          </w:p>
          <w:p>
            <w:pPr>
              <w:snapToGrid w:val="0"/>
              <w:rPr>
                <w:rFonts w:ascii="宋体" w:hAnsi="宋体" w:cs="宋体"/>
                <w:color w:val="auto"/>
                <w:kern w:val="0"/>
                <w:sz w:val="24"/>
                <w:highlight w:val="none"/>
              </w:rPr>
            </w:pPr>
            <w:r>
              <w:rPr>
                <w:rFonts w:hint="eastAsia" w:ascii="宋体" w:hAnsi="宋体" w:cs="宋体"/>
                <w:color w:val="auto"/>
                <w:kern w:val="0"/>
                <w:sz w:val="24"/>
                <w:highlight w:val="none"/>
              </w:rPr>
              <w:t>方式二：现场讲解演示。现场讲解地点为</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，讲解演示所用电脑等设备由供应商自备。现场讲解演示人员进场时提供讲解人员名单（加盖公章或授权代表签名）及身份证明，否则不得讲解演示。</w:t>
            </w:r>
          </w:p>
          <w:p>
            <w:pPr>
              <w:snapToGrid w:val="0"/>
              <w:rPr>
                <w:rFonts w:ascii="宋体" w:hAnsi="宋体" w:cs="宋体"/>
                <w:b/>
                <w:color w:val="auto"/>
                <w:kern w:val="0"/>
                <w:sz w:val="24"/>
                <w:highlight w:val="none"/>
                <w:lang w:val="zh-CN"/>
              </w:rPr>
            </w:pPr>
            <w:r>
              <w:rPr>
                <w:rFonts w:hint="eastAsia" w:ascii="宋体" w:hAnsi="宋体" w:cs="宋体"/>
                <w:color w:val="auto"/>
                <w:kern w:val="0"/>
                <w:sz w:val="24"/>
                <w:highlight w:val="none"/>
              </w:rPr>
              <w:t>注：因供应商自身原因导致无法演示或者演示效果不理想的，责任自负。因平台原因导致本项目方案讲解演示环节无法顺利开展，按照《浙江省政府采购项目电子交易管理暂行办法》相关规定执行。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27" w:hRule="atLeast"/>
        </w:trPr>
        <w:tc>
          <w:tcPr>
            <w:tcW w:w="714" w:type="dxa"/>
            <w:vMerge w:val="restart"/>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8</w:t>
            </w:r>
          </w:p>
        </w:tc>
        <w:tc>
          <w:tcPr>
            <w:tcW w:w="2093" w:type="dxa"/>
            <w:vMerge w:val="restart"/>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供应商应当提供的资格、资信证明文件</w:t>
            </w:r>
          </w:p>
        </w:tc>
        <w:tc>
          <w:tcPr>
            <w:tcW w:w="6927" w:type="dxa"/>
            <w:vAlign w:val="center"/>
          </w:tcPr>
          <w:p>
            <w:pPr>
              <w:rPr>
                <w:rFonts w:ascii="宋体" w:hAnsi="宋体" w:cs="宋体"/>
                <w:color w:val="auto"/>
                <w:sz w:val="24"/>
                <w:highlight w:val="none"/>
              </w:rPr>
            </w:pPr>
            <w:r>
              <w:rPr>
                <w:rFonts w:hint="eastAsia" w:ascii="宋体" w:hAnsi="宋体" w:cs="宋体"/>
                <w:color w:val="auto"/>
                <w:sz w:val="24"/>
                <w:highlight w:val="none"/>
              </w:rPr>
              <w:t>（1）资格证明文件：见采购文件第二部分11.1。</w:t>
            </w:r>
          </w:p>
          <w:p>
            <w:pPr>
              <w:rPr>
                <w:rFonts w:ascii="宋体" w:hAnsi="宋体" w:cs="宋体"/>
                <w:snapToGrid w:val="0"/>
                <w:color w:val="auto"/>
                <w:kern w:val="0"/>
                <w:szCs w:val="21"/>
                <w:highlight w:val="none"/>
              </w:rPr>
            </w:pPr>
            <w:r>
              <w:rPr>
                <w:rFonts w:hint="eastAsia" w:ascii="宋体" w:hAnsi="宋体" w:cs="宋体"/>
                <w:color w:val="auto"/>
                <w:kern w:val="0"/>
                <w:sz w:val="24"/>
                <w:highlight w:val="none"/>
                <w:lang w:val="zh-CN"/>
              </w:rPr>
              <w:t>供应商未提供有效的资格证明文件的，视为供应商不具备采购文件中规定的资格要求，响应文件无效。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5" w:hRule="atLeast"/>
        </w:trPr>
        <w:tc>
          <w:tcPr>
            <w:tcW w:w="714" w:type="dxa"/>
            <w:vMerge w:val="continue"/>
            <w:vAlign w:val="center"/>
          </w:tcPr>
          <w:p>
            <w:pPr>
              <w:snapToGrid w:val="0"/>
              <w:spacing w:line="360" w:lineRule="auto"/>
              <w:jc w:val="center"/>
              <w:rPr>
                <w:rFonts w:ascii="宋体" w:hAnsi="宋体" w:cs="宋体"/>
                <w:color w:val="auto"/>
                <w:sz w:val="24"/>
                <w:highlight w:val="none"/>
              </w:rPr>
            </w:pPr>
          </w:p>
        </w:tc>
        <w:tc>
          <w:tcPr>
            <w:tcW w:w="2093" w:type="dxa"/>
            <w:vMerge w:val="continue"/>
            <w:vAlign w:val="center"/>
          </w:tcPr>
          <w:p>
            <w:pPr>
              <w:snapToGrid w:val="0"/>
              <w:spacing w:line="360" w:lineRule="auto"/>
              <w:jc w:val="center"/>
              <w:rPr>
                <w:rFonts w:ascii="宋体" w:hAnsi="宋体" w:cs="宋体"/>
                <w:b/>
                <w:color w:val="auto"/>
                <w:sz w:val="24"/>
                <w:highlight w:val="none"/>
              </w:rPr>
            </w:pPr>
          </w:p>
        </w:tc>
        <w:tc>
          <w:tcPr>
            <w:tcW w:w="6927" w:type="dxa"/>
            <w:vAlign w:val="center"/>
          </w:tcPr>
          <w:p>
            <w:pPr>
              <w:rPr>
                <w:rFonts w:ascii="宋体" w:hAnsi="宋体" w:cs="宋体"/>
                <w:color w:val="auto"/>
                <w:sz w:val="24"/>
                <w:highlight w:val="none"/>
              </w:rPr>
            </w:pPr>
            <w:r>
              <w:rPr>
                <w:rFonts w:hint="eastAsia" w:ascii="宋体" w:hAnsi="宋体" w:cs="宋体"/>
                <w:color w:val="auto"/>
                <w:sz w:val="24"/>
                <w:highlight w:val="none"/>
              </w:rPr>
              <w:t>（2）资信证明文件：根据采购文件第四部分评审标准提供。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35" w:hRule="atLeast"/>
        </w:trPr>
        <w:tc>
          <w:tcPr>
            <w:tcW w:w="714"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9</w:t>
            </w:r>
          </w:p>
        </w:tc>
        <w:tc>
          <w:tcPr>
            <w:tcW w:w="2093" w:type="dxa"/>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节能产品、环境标志产品</w:t>
            </w:r>
          </w:p>
        </w:tc>
        <w:tc>
          <w:tcPr>
            <w:tcW w:w="6927" w:type="dxa"/>
            <w:vAlign w:val="center"/>
          </w:tcPr>
          <w:p>
            <w:pPr>
              <w:snapToGrid w:val="0"/>
              <w:rPr>
                <w:rFonts w:ascii="宋体" w:hAnsi="宋体" w:cs="宋体"/>
                <w:color w:val="auto"/>
                <w:highlight w:val="none"/>
              </w:rPr>
            </w:pPr>
            <w:r>
              <w:rPr>
                <w:rFonts w:hint="eastAsia" w:ascii="宋体" w:hAnsi="宋体" w:cs="宋体"/>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6" w:hRule="atLeast"/>
        </w:trPr>
        <w:tc>
          <w:tcPr>
            <w:tcW w:w="714"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10</w:t>
            </w:r>
          </w:p>
        </w:tc>
        <w:tc>
          <w:tcPr>
            <w:tcW w:w="2093" w:type="dxa"/>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报价要求</w:t>
            </w:r>
          </w:p>
        </w:tc>
        <w:tc>
          <w:tcPr>
            <w:tcW w:w="6927" w:type="dxa"/>
            <w:vAlign w:val="center"/>
          </w:tcPr>
          <w:p>
            <w:pPr>
              <w:snapToGrid w:val="0"/>
              <w:jc w:val="left"/>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有关本项目实施所需的所有费用（含税费）均计入报价。</w:t>
            </w:r>
            <w:r>
              <w:rPr>
                <w:rFonts w:hint="eastAsia" w:ascii="宋体" w:hAnsi="宋体" w:cs="宋体"/>
                <w:color w:val="auto"/>
                <w:sz w:val="24"/>
                <w:highlight w:val="none"/>
              </w:rPr>
              <w:t>报价单是报价的唯一载体</w:t>
            </w:r>
            <w:r>
              <w:rPr>
                <w:rFonts w:hint="eastAsia" w:ascii="宋体" w:hAnsi="宋体" w:cs="宋体"/>
                <w:color w:val="auto"/>
                <w:kern w:val="0"/>
                <w:sz w:val="24"/>
                <w:highlight w:val="none"/>
                <w:lang w:val="zh-CN"/>
              </w:rPr>
              <w:t>。响应文件中价格全部采用人民币报价。采购文件未列明，而供应商认为必需的费用也需列入报价。</w:t>
            </w:r>
            <w:r>
              <w:rPr>
                <w:rFonts w:hint="eastAsia" w:ascii="宋体" w:hAnsi="宋体" w:cs="宋体"/>
                <w:b/>
                <w:color w:val="auto"/>
                <w:kern w:val="0"/>
                <w:sz w:val="24"/>
                <w:highlight w:val="none"/>
                <w:lang w:val="zh-CN"/>
              </w:rPr>
              <w:t>提醒：验收时检测费用由采购人承担，不包含在总价中。</w:t>
            </w:r>
          </w:p>
          <w:p>
            <w:pPr>
              <w:snapToGrid w:val="0"/>
              <w:jc w:val="left"/>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最后报价出现下列情形的，响应文件无效：</w:t>
            </w:r>
          </w:p>
          <w:p>
            <w:pPr>
              <w:snapToGrid w:val="0"/>
              <w:ind w:firstLine="241" w:firstLineChars="100"/>
              <w:jc w:val="left"/>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响应文件出现不是唯一的、有选择性最后报价的；</w:t>
            </w:r>
          </w:p>
          <w:p>
            <w:pPr>
              <w:snapToGrid w:val="0"/>
              <w:ind w:firstLine="241" w:firstLineChars="100"/>
              <w:jc w:val="left"/>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最后报价超过采购文件中规定的预算金额或者最高限价的;</w:t>
            </w:r>
          </w:p>
          <w:p>
            <w:pPr>
              <w:pStyle w:val="3"/>
              <w:spacing w:line="240" w:lineRule="auto"/>
              <w:rPr>
                <w:color w:val="auto"/>
                <w:highlight w:val="none"/>
              </w:rPr>
            </w:pPr>
          </w:p>
          <w:p>
            <w:pPr>
              <w:ind w:firstLine="241" w:firstLineChars="100"/>
              <w:rPr>
                <w:rFonts w:ascii="宋体" w:hAnsi="宋体" w:cs="宋体"/>
                <w:b/>
                <w:color w:val="auto"/>
                <w:sz w:val="24"/>
                <w:highlight w:val="none"/>
              </w:rPr>
            </w:pPr>
            <w:r>
              <w:rPr>
                <w:rFonts w:hint="eastAsia" w:ascii="宋体" w:hAnsi="宋体" w:cs="宋体"/>
                <w:b/>
                <w:color w:val="auto"/>
                <w:kern w:val="0"/>
                <w:sz w:val="24"/>
                <w:highlight w:val="none"/>
              </w:rPr>
              <w:t>报价明显低于其他通过符合性审查供应商的报价，有可能影响产品质量或者不能诚信履约的，未能按要求提供书面说明或者提交相关证明材料证明其报价合理性的</w:t>
            </w:r>
            <w:r>
              <w:rPr>
                <w:rFonts w:hint="eastAsia" w:ascii="宋体" w:hAnsi="宋体" w:cs="宋体"/>
                <w:b/>
                <w:color w:val="auto"/>
                <w:sz w:val="24"/>
                <w:szCs w:val="21"/>
                <w:highlight w:val="none"/>
              </w:rPr>
              <w:t>;</w:t>
            </w:r>
          </w:p>
          <w:p>
            <w:pPr>
              <w:ind w:firstLine="241" w:firstLineChars="100"/>
              <w:rPr>
                <w:rFonts w:ascii="宋体" w:hAnsi="宋体" w:cs="宋体"/>
                <w:color w:val="auto"/>
                <w:sz w:val="24"/>
                <w:highlight w:val="none"/>
              </w:rPr>
            </w:pPr>
            <w:r>
              <w:rPr>
                <w:rFonts w:hint="eastAsia" w:ascii="宋体" w:hAnsi="宋体" w:cs="宋体"/>
                <w:b/>
                <w:color w:val="auto"/>
                <w:kern w:val="0"/>
                <w:sz w:val="24"/>
                <w:highlight w:val="none"/>
              </w:rPr>
              <w:t>供应商对根据修正原则修正后的报价不确认的</w:t>
            </w:r>
            <w:r>
              <w:rPr>
                <w:rFonts w:hint="eastAsia" w:ascii="宋体" w:hAnsi="宋体" w:cs="宋体"/>
                <w:b/>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84" w:hRule="atLeast"/>
        </w:trPr>
        <w:tc>
          <w:tcPr>
            <w:tcW w:w="714"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11</w:t>
            </w:r>
          </w:p>
        </w:tc>
        <w:tc>
          <w:tcPr>
            <w:tcW w:w="2093" w:type="dxa"/>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中小企业信用融资</w:t>
            </w:r>
          </w:p>
        </w:tc>
        <w:tc>
          <w:tcPr>
            <w:tcW w:w="6927" w:type="dxa"/>
            <w:vAlign w:val="center"/>
          </w:tcPr>
          <w:p>
            <w:pPr>
              <w:ind w:firstLine="480" w:firstLineChars="200"/>
              <w:rPr>
                <w:rFonts w:ascii="宋体" w:hAnsi="宋体" w:cs="宋体"/>
                <w:color w:val="auto"/>
                <w:sz w:val="24"/>
                <w:highlight w:val="none"/>
              </w:rPr>
            </w:pPr>
            <w:r>
              <w:rPr>
                <w:rFonts w:hint="eastAsia" w:ascii="宋体" w:hAnsi="宋体" w:cs="宋体"/>
                <w:snapToGrid w:val="0"/>
                <w:color w:val="auto"/>
                <w:kern w:val="28"/>
                <w:sz w:val="24"/>
                <w:highlight w:val="none"/>
              </w:rPr>
              <w:t>供应商成交后也可在“政采云”平台申请政采贷：操作路径：登录政采云平台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90" w:hRule="atLeast"/>
        </w:trPr>
        <w:tc>
          <w:tcPr>
            <w:tcW w:w="714"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12</w:t>
            </w:r>
          </w:p>
        </w:tc>
        <w:tc>
          <w:tcPr>
            <w:tcW w:w="2093" w:type="dxa"/>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备份响应文件送达地点和签收人员</w:t>
            </w:r>
          </w:p>
        </w:tc>
        <w:tc>
          <w:tcPr>
            <w:tcW w:w="6927" w:type="dxa"/>
            <w:vAlign w:val="center"/>
          </w:tcPr>
          <w:p>
            <w:pPr>
              <w:pStyle w:val="34"/>
              <w:rPr>
                <w:rFonts w:hAnsi="宋体" w:cs="宋体"/>
                <w:color w:val="auto"/>
                <w:kern w:val="28"/>
                <w:sz w:val="24"/>
                <w:szCs w:val="24"/>
                <w:highlight w:val="none"/>
              </w:rPr>
            </w:pPr>
            <w:r>
              <w:rPr>
                <w:rFonts w:hint="eastAsia" w:hAnsi="宋体" w:cs="宋体"/>
                <w:color w:val="auto"/>
                <w:kern w:val="28"/>
                <w:sz w:val="24"/>
                <w:szCs w:val="24"/>
                <w:highlight w:val="none"/>
              </w:rPr>
              <w:t>备份响应文件送达地点：</w:t>
            </w:r>
            <w:r>
              <w:rPr>
                <w:rFonts w:hint="eastAsia" w:hAnsi="宋体" w:cs="宋体"/>
                <w:color w:val="auto"/>
                <w:kern w:val="28"/>
                <w:sz w:val="24"/>
                <w:szCs w:val="24"/>
                <w:highlight w:val="none"/>
                <w:u w:val="single"/>
              </w:rPr>
              <w:t>杭州市拱墅区大关路179号远洋国际中心A座17楼1706室</w:t>
            </w:r>
            <w:r>
              <w:rPr>
                <w:rFonts w:hint="eastAsia" w:hAnsi="宋体" w:cs="宋体"/>
                <w:color w:val="auto"/>
                <w:kern w:val="28"/>
                <w:sz w:val="24"/>
                <w:szCs w:val="24"/>
                <w:highlight w:val="none"/>
              </w:rPr>
              <w:t>；</w:t>
            </w:r>
          </w:p>
          <w:p>
            <w:pPr>
              <w:pStyle w:val="34"/>
              <w:rPr>
                <w:rFonts w:hAnsi="宋体" w:cs="宋体"/>
                <w:color w:val="auto"/>
                <w:sz w:val="24"/>
                <w:szCs w:val="24"/>
                <w:highlight w:val="none"/>
              </w:rPr>
            </w:pPr>
            <w:r>
              <w:rPr>
                <w:rFonts w:hint="eastAsia" w:hAnsi="宋体" w:cs="宋体"/>
                <w:color w:val="auto"/>
                <w:kern w:val="28"/>
                <w:sz w:val="24"/>
                <w:szCs w:val="24"/>
                <w:highlight w:val="none"/>
              </w:rPr>
              <w:t>备份响应文件签收人员联系电话：</w:t>
            </w:r>
            <w:r>
              <w:rPr>
                <w:rFonts w:hint="eastAsia" w:hAnsi="宋体" w:cs="宋体"/>
                <w:color w:val="auto"/>
                <w:kern w:val="28"/>
                <w:sz w:val="24"/>
                <w:szCs w:val="24"/>
                <w:highlight w:val="none"/>
                <w:u w:val="single"/>
              </w:rPr>
              <w:t>陈梦菲，0571-87981527</w:t>
            </w:r>
            <w:r>
              <w:rPr>
                <w:rFonts w:hint="eastAsia" w:hAnsi="宋体" w:cs="宋体"/>
                <w:color w:val="auto"/>
                <w:sz w:val="24"/>
                <w:szCs w:val="24"/>
                <w:highlight w:val="none"/>
              </w:rPr>
              <w:t>。</w:t>
            </w:r>
          </w:p>
          <w:p>
            <w:pPr>
              <w:pStyle w:val="34"/>
              <w:rPr>
                <w:rFonts w:hAnsi="宋体" w:cs="宋体"/>
                <w:color w:val="auto"/>
                <w:kern w:val="28"/>
                <w:sz w:val="24"/>
                <w:highlight w:val="none"/>
              </w:rPr>
            </w:pPr>
            <w:r>
              <w:rPr>
                <w:rFonts w:hint="eastAsia" w:hAnsi="宋体" w:cs="宋体"/>
                <w:b/>
                <w:color w:val="auto"/>
                <w:sz w:val="24"/>
                <w:szCs w:val="24"/>
                <w:highlight w:val="none"/>
              </w:rPr>
              <w:t>采购人、采购代理机构不强制或变相强制供应商提交备份响应文件。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55" w:hRule="atLeast"/>
        </w:trPr>
        <w:tc>
          <w:tcPr>
            <w:tcW w:w="714"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13</w:t>
            </w:r>
          </w:p>
        </w:tc>
        <w:tc>
          <w:tcPr>
            <w:tcW w:w="2093" w:type="dxa"/>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其它说明</w:t>
            </w:r>
          </w:p>
        </w:tc>
        <w:tc>
          <w:tcPr>
            <w:tcW w:w="6927" w:type="dxa"/>
            <w:vAlign w:val="center"/>
          </w:tcPr>
          <w:p>
            <w:pPr>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联合体或者以分包方式履行合同的，联合体各方（供应商与分包供应商）分别提供与联合体协议（分包意向协议）中规定的分工内容相应的业绩证明材料，业绩数量以提供材料较少的一方为准</w:t>
            </w:r>
            <w:r>
              <w:rPr>
                <w:rFonts w:hint="eastAsia" w:ascii="宋体" w:hAnsi="宋体" w:cs="宋体"/>
                <w:b/>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52" w:hRule="atLeast"/>
        </w:trPr>
        <w:tc>
          <w:tcPr>
            <w:tcW w:w="714"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14</w:t>
            </w:r>
          </w:p>
        </w:tc>
        <w:tc>
          <w:tcPr>
            <w:tcW w:w="2093" w:type="dxa"/>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采购代理服务费</w:t>
            </w:r>
          </w:p>
        </w:tc>
        <w:tc>
          <w:tcPr>
            <w:tcW w:w="6927" w:type="dxa"/>
            <w:vAlign w:val="center"/>
          </w:tcPr>
          <w:p>
            <w:pPr>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本项目招标代理费按计价格[2002]1980号、发改价格[2011]534号文件规定的取费标准的75%计取，不足3000元时按3000元计取，以中标价为计算基数。由中标人在领取中标通知书时支付给招标代理机构。该费用在投标文件中不单列，由中标人在投标总报价中综合考虑。</w:t>
            </w:r>
          </w:p>
        </w:tc>
      </w:tr>
    </w:tbl>
    <w:p>
      <w:pPr>
        <w:snapToGrid w:val="0"/>
        <w:spacing w:line="360" w:lineRule="auto"/>
        <w:jc w:val="center"/>
        <w:rPr>
          <w:rFonts w:ascii="宋体" w:hAnsi="宋体" w:cs="宋体"/>
          <w:b/>
          <w:color w:val="auto"/>
          <w:sz w:val="32"/>
          <w:szCs w:val="20"/>
          <w:highlight w:val="none"/>
        </w:rPr>
      </w:pPr>
    </w:p>
    <w:bookmarkEnd w:id="10"/>
    <w:p>
      <w:pPr>
        <w:widowControl/>
        <w:adjustRightInd/>
        <w:jc w:val="left"/>
        <w:rPr>
          <w:rFonts w:ascii="宋体" w:hAnsi="宋体" w:cs="宋体"/>
          <w:b/>
          <w:color w:val="auto"/>
          <w:sz w:val="32"/>
          <w:szCs w:val="20"/>
          <w:highlight w:val="none"/>
        </w:rPr>
      </w:pPr>
      <w:bookmarkStart w:id="14" w:name="_Toc164416483"/>
      <w:bookmarkStart w:id="15" w:name="第三部分"/>
      <w:r>
        <w:rPr>
          <w:rFonts w:hint="eastAsia" w:ascii="宋体" w:hAnsi="宋体" w:cs="宋体"/>
          <w:b/>
          <w:color w:val="auto"/>
          <w:sz w:val="32"/>
          <w:szCs w:val="20"/>
          <w:highlight w:val="none"/>
        </w:rPr>
        <w:br w:type="page"/>
      </w:r>
    </w:p>
    <w:p>
      <w:pPr>
        <w:snapToGrid w:val="0"/>
        <w:spacing w:line="360" w:lineRule="auto"/>
        <w:jc w:val="center"/>
        <w:outlineLvl w:val="0"/>
        <w:rPr>
          <w:rFonts w:ascii="宋体" w:hAnsi="宋体" w:cs="宋体"/>
          <w:b/>
          <w:color w:val="auto"/>
          <w:sz w:val="32"/>
          <w:szCs w:val="20"/>
          <w:highlight w:val="none"/>
        </w:rPr>
      </w:pPr>
      <w:r>
        <w:rPr>
          <w:rFonts w:hint="eastAsia" w:ascii="宋体" w:hAnsi="宋体" w:cs="宋体"/>
          <w:b/>
          <w:color w:val="auto"/>
          <w:sz w:val="32"/>
          <w:szCs w:val="20"/>
          <w:highlight w:val="none"/>
        </w:rPr>
        <w:t>一、总则</w:t>
      </w:r>
    </w:p>
    <w:p>
      <w:pPr>
        <w:snapToGrid w:val="0"/>
        <w:spacing w:line="360" w:lineRule="auto"/>
        <w:jc w:val="left"/>
        <w:outlineLvl w:val="1"/>
        <w:rPr>
          <w:rFonts w:ascii="宋体" w:hAnsi="宋体" w:cs="宋体"/>
          <w:b/>
          <w:color w:val="auto"/>
          <w:sz w:val="24"/>
          <w:highlight w:val="none"/>
        </w:rPr>
      </w:pPr>
      <w:r>
        <w:rPr>
          <w:rFonts w:hint="eastAsia" w:ascii="宋体" w:hAnsi="宋体" w:cs="宋体"/>
          <w:b/>
          <w:color w:val="auto"/>
          <w:sz w:val="24"/>
          <w:highlight w:val="none"/>
        </w:rPr>
        <w:t>1. 适用范围</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本采购文件适用于该项目的采购邀请、响应文件提交、响应文件开启、资格审查及信用信息查询、磋商、评审、成交供应商确定、合同、验收等行为（法律、法规另有规定的，从其规定）。</w:t>
      </w:r>
    </w:p>
    <w:p>
      <w:pPr>
        <w:snapToGrid w:val="0"/>
        <w:spacing w:line="360" w:lineRule="auto"/>
        <w:outlineLvl w:val="0"/>
        <w:rPr>
          <w:rFonts w:ascii="宋体" w:hAnsi="宋体" w:cs="宋体"/>
          <w:b/>
          <w:color w:val="auto"/>
          <w:sz w:val="24"/>
          <w:highlight w:val="none"/>
        </w:rPr>
      </w:pPr>
      <w:r>
        <w:rPr>
          <w:rFonts w:hint="eastAsia" w:ascii="宋体" w:hAnsi="宋体" w:cs="宋体"/>
          <w:b/>
          <w:color w:val="auto"/>
          <w:sz w:val="24"/>
          <w:highlight w:val="none"/>
        </w:rPr>
        <w:t>2.定义</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 “采购人”系指竞争性磋商公告中载明的本项目的采购人。</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2.2 “采购代理机构”系指竞争性磋商公告中载明的本项目的采购代理机构。</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2.3 “供应商”系指是指提交响应文件和报价、参与竞争性磋商采购活动的法人、其他组织或者自然人。</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2.4 “负责人”系指法人企业的法定负责人，或其他组织为法律、行政法规规定代表单位行使职权的主要负责人，或自然人本人。</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提交响应文件时须提供《业务专用章使用说明函》（附件4）。</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2.6“电子交易平台”系指本项目政府采购活动所依托的政府采购云平台（https://www.zcygov.cn/）。</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2.7 “▲” 系指实质性要求条款，“</w:t>
      </w:r>
      <w:sdt>
        <w:sdtPr>
          <w:rPr>
            <w:rFonts w:hint="eastAsia" w:ascii="宋体" w:hAnsi="宋体" w:cs="宋体"/>
            <w:color w:val="auto"/>
            <w:kern w:val="0"/>
            <w:sz w:val="24"/>
            <w:highlight w:val="none"/>
          </w:rPr>
          <w:id w:val="512970236"/>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Wingdings" w:hAnsi="Wingdings" w:cs="宋体"/>
              <w:color w:val="auto"/>
              <w:kern w:val="0"/>
              <w:sz w:val="24"/>
              <w:highlight w:val="none"/>
            </w:rPr>
            <w:t></w:t>
          </w:r>
        </w:sdtContent>
      </w:sdt>
      <w:r>
        <w:rPr>
          <w:rFonts w:hint="eastAsia" w:ascii="宋体" w:hAnsi="宋体" w:cs="宋体"/>
          <w:color w:val="auto"/>
          <w:sz w:val="24"/>
          <w:highlight w:val="none"/>
        </w:rPr>
        <w:t>” 系指适用本项目的要求，“</w:t>
      </w:r>
      <w:sdt>
        <w:sdtPr>
          <w:rPr>
            <w:rFonts w:hint="eastAsia" w:ascii="宋体" w:hAnsi="宋体" w:cs="宋体"/>
            <w:color w:val="auto"/>
            <w:kern w:val="0"/>
            <w:sz w:val="24"/>
            <w:highlight w:val="none"/>
          </w:rPr>
          <w:id w:val="40488885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 系指不适用本项目的要求，“※”系指磋商过程中可能实质性变动的内容。</w:t>
      </w:r>
    </w:p>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3.</w:t>
      </w:r>
      <w:r>
        <w:rPr>
          <w:rFonts w:hint="eastAsia" w:ascii="宋体" w:hAnsi="宋体" w:cs="宋体"/>
          <w:color w:val="auto"/>
          <w:highlight w:val="none"/>
        </w:rPr>
        <w:t xml:space="preserve"> </w:t>
      </w:r>
      <w:r>
        <w:rPr>
          <w:rFonts w:hint="eastAsia" w:ascii="宋体" w:hAnsi="宋体" w:cs="宋体"/>
          <w:b/>
          <w:color w:val="auto"/>
          <w:sz w:val="24"/>
          <w:highlight w:val="none"/>
        </w:rPr>
        <w:t>采购项目需要落实的政府采购政策</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hint="eastAsia" w:ascii="宋体" w:hAnsi="宋体" w:cs="宋体"/>
          <w:color w:val="auto"/>
          <w:kern w:val="0"/>
          <w:sz w:val="24"/>
          <w:highlight w:val="none"/>
        </w:rPr>
        <w:t>优先采购向我国企业转让技术、与我国企业签订消化吸收再创新方案的供应商的进口产品</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 支持绿色发展</w:t>
      </w:r>
    </w:p>
    <w:p>
      <w:pPr>
        <w:snapToGrid w:val="0"/>
        <w:spacing w:line="360" w:lineRule="auto"/>
        <w:ind w:firstLine="480" w:firstLineChars="200"/>
        <w:rPr>
          <w:rFonts w:ascii="宋体" w:hAnsi="宋体" w:cs="宋体"/>
          <w:b/>
          <w:color w:val="auto"/>
          <w:sz w:val="24"/>
          <w:highlight w:val="none"/>
        </w:rPr>
      </w:pPr>
      <w:r>
        <w:rPr>
          <w:rFonts w:hint="eastAsia" w:ascii="宋体" w:hAnsi="宋体" w:cs="宋体"/>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采购文件要求提供相关产品认证证书。▲</w:t>
      </w:r>
      <w:r>
        <w:rPr>
          <w:rFonts w:hint="eastAsia" w:ascii="宋体" w:hAnsi="宋体" w:cs="宋体"/>
          <w:b/>
          <w:color w:val="auto"/>
          <w:sz w:val="24"/>
          <w:highlight w:val="none"/>
        </w:rPr>
        <w:t>采购人拟采购的产品属于政府强制采购的节能产品品目清单范围的，供应商未按采购文件要求提供国家确定的认证机构出具的、处于有效期之内的节能产品认证证书的，响应文件无效。</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3.2.2纳入政府采购管理的修缮、装修类项目采购建材的，鼓励采购单位将绿色建材性能、指标等作为实质性条件纳入采购文件和合同，具体性能指标要求参考相关绿色建材政府采购需求标准。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pStyle w:val="3"/>
        <w:tabs>
          <w:tab w:val="left" w:pos="0"/>
          <w:tab w:val="clear" w:pos="432"/>
        </w:tabs>
        <w:ind w:left="0" w:firstLine="480" w:firstLineChars="200"/>
        <w:rPr>
          <w:color w:val="auto"/>
          <w:highlight w:val="none"/>
          <w:lang w:val="en-US"/>
        </w:rPr>
      </w:pPr>
      <w:r>
        <w:rPr>
          <w:rFonts w:ascii="宋体" w:hAnsi="宋体" w:eastAsia="宋体" w:cs="宋体"/>
          <w:b w:val="0"/>
          <w:bCs w:val="0"/>
          <w:color w:val="auto"/>
          <w:sz w:val="24"/>
          <w:szCs w:val="24"/>
          <w:highlight w:val="none"/>
          <w:lang w:val="en-US"/>
        </w:rPr>
        <w:t xml:space="preserve">3.2.4 </w:t>
      </w:r>
      <w:r>
        <w:rPr>
          <w:rFonts w:hint="eastAsia" w:ascii="宋体" w:hAnsi="宋体" w:eastAsia="宋体" w:cs="宋体"/>
          <w:b w:val="0"/>
          <w:bCs w:val="0"/>
          <w:color w:val="auto"/>
          <w:sz w:val="24"/>
          <w:szCs w:val="24"/>
          <w:highlight w:val="none"/>
          <w:lang w:val="en-US"/>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3.3支持中小企业发展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符合中小企业划分标准的个体工商户，在政府采购活动中视同中小企业。</w:t>
      </w:r>
    </w:p>
    <w:p>
      <w:pPr>
        <w:widowControl/>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bCs/>
          <w:color w:val="auto"/>
          <w:sz w:val="24"/>
          <w:highlight w:val="none"/>
        </w:rPr>
        <w:t>3.3.2</w:t>
      </w:r>
      <w:r>
        <w:rPr>
          <w:rFonts w:hint="eastAsia" w:ascii="宋体" w:hAnsi="宋体" w:cs="宋体"/>
          <w:color w:val="auto"/>
          <w:kern w:val="0"/>
          <w:sz w:val="24"/>
          <w:highlight w:val="none"/>
        </w:rPr>
        <w:t>在政府采购活动中，供应商提供的工程符合下列情形的，享受中小企业扶持政策：</w:t>
      </w:r>
      <w:r>
        <w:rPr>
          <w:rFonts w:ascii="宋体" w:hAnsi="宋体" w:cs="宋体"/>
          <w:color w:val="auto"/>
          <w:sz w:val="24"/>
          <w:highlight w:val="none"/>
        </w:rPr>
        <w:t>在工程采购项目中，工程由中小企业承建，即工程施工单位为中小企业</w:t>
      </w:r>
      <w:r>
        <w:rPr>
          <w:rFonts w:hint="eastAsia" w:ascii="宋体" w:hAnsi="宋体" w:cs="宋体"/>
          <w:color w:val="auto"/>
          <w:kern w:val="0"/>
          <w:sz w:val="24"/>
          <w:highlight w:val="none"/>
        </w:rPr>
        <w:t>。</w:t>
      </w:r>
    </w:p>
    <w:p>
      <w:pPr>
        <w:widowControl/>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以联合体形式参加政府采购活动，联合体各方均为中小企业的，联合体视同中小企业。其中，联合体各方均为小微企业的，联合体视同小微企业。</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3.3.3对于未预留份额专门面向中小企业的政府采购工程项目，以及预留份额政府采购工程项目中的非预留部分标项，对小型和微型企业的最后报价给予5%的扣除，用扣除后的价格参与评审。接受大中型企业与小微企业组成联合体或者允许大中型企业向一家或者多家小微企业分包的政府采购工程项目，对于</w:t>
      </w:r>
      <w:bookmarkStart w:id="16" w:name="_Hlk101132181"/>
      <w:r>
        <w:rPr>
          <w:rFonts w:hint="eastAsia" w:ascii="宋体" w:hAnsi="宋体" w:cs="宋体"/>
          <w:color w:val="auto"/>
          <w:sz w:val="24"/>
          <w:highlight w:val="none"/>
        </w:rPr>
        <w:t>联合协议或者分包意向协议约定小微企业的合同份额占到合同总金额30%以上的</w:t>
      </w:r>
      <w:bookmarkEnd w:id="16"/>
      <w:r>
        <w:rPr>
          <w:rFonts w:hint="eastAsia" w:ascii="宋体" w:hAnsi="宋体" w:cs="宋体"/>
          <w:color w:val="auto"/>
          <w:sz w:val="24"/>
          <w:highlight w:val="none"/>
        </w:rPr>
        <w:t>，对联合体或者大中型企业的报价给予2%的扣除，用扣除后的价格参加评审。组成联合体或者接受分包的小微企业与联合体内其他企业、分包企业之间存在直接控股、管理关系的，不享受价格扣除优惠政策。</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3.3.4符合《关于促进残疾人就业政府采购政策的通知》（财库〔2017〕141号）规定的条件并提供《残疾人福利性单位声明函》（附件1）的残疾人福利性单位视同小型、微型企业；</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3.3.6可享受中小企业扶持政策的供应商应按照采购文件格式要求提供《中小企业声明函》，供应商提供的《中小企业声明函》与实际情况不符的，不享受中小企业扶持政策。声明内容不实的，属于提供虚假材料谋取中标、成交的，依法承担法律责任。</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3.3.7中小企业享受扶持政策获得政府采购合同的，小微企业不得将合同分包给大中型企业，中型企业不得将合同分包给大型企业。</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w:t>
      </w:r>
      <w:r>
        <w:rPr>
          <w:rFonts w:hint="eastAsia" w:ascii="宋体" w:hAnsi="宋体" w:cs="宋体"/>
          <w:bCs/>
          <w:color w:val="auto"/>
          <w:sz w:val="24"/>
          <w:highlight w:val="none"/>
        </w:rPr>
        <w:t>支持创新发展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3.4.1 采购人优先采购被认定为首台套产品和“制造精品”的自主创新产品。</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3.4.2首台套产品被纳入《首台套产品推广应用指导目录》之日起</w:t>
      </w:r>
      <w:r>
        <w:rPr>
          <w:rFonts w:hint="eastAsia" w:ascii="宋体" w:hAnsi="宋体" w:cs="宋体"/>
          <w:color w:val="auto"/>
          <w:sz w:val="24"/>
          <w:highlight w:val="none"/>
        </w:rPr>
        <w:t>3</w:t>
      </w:r>
      <w:r>
        <w:rPr>
          <w:rFonts w:hint="eastAsia" w:ascii="宋体" w:hAnsi="宋体" w:cs="宋体"/>
          <w:color w:val="auto"/>
          <w:sz w:val="24"/>
          <w:highlight w:val="none"/>
        </w:rPr>
        <w:t>年内，以及产品核心技术高于国内领先水平，并具有明晰自主知识产权的“制造精品”产品，自认定之日起2年内视同已具备相应销售业绩，参加政府采购活动时业绩分值为满分。</w:t>
      </w:r>
    </w:p>
    <w:p>
      <w:pPr>
        <w:pStyle w:val="80"/>
        <w:ind w:firstLine="480"/>
        <w:rPr>
          <w:color w:val="auto"/>
          <w:highlight w:val="none"/>
        </w:rPr>
      </w:pPr>
      <w:r>
        <w:rPr>
          <w:rFonts w:hint="eastAsia" w:ascii="宋体" w:hAnsi="宋体" w:eastAsia="宋体" w:cs="仿宋"/>
          <w:color w:val="auto"/>
          <w:sz w:val="24"/>
          <w:szCs w:val="24"/>
          <w:highlight w:val="none"/>
          <w:lang w:val="en-US"/>
        </w:rPr>
        <w:t>3.4.3 采购人应当贯彻落实知识产权保护相关法律法规，应当采购使用正版软件。</w:t>
      </w:r>
    </w:p>
    <w:p>
      <w:pPr>
        <w:snapToGrid w:val="0"/>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3.5平等对待内外资企业和符合条件的破产重整企业：</w:t>
      </w:r>
    </w:p>
    <w:p>
      <w:pPr>
        <w:snapToGrid w:val="0"/>
        <w:spacing w:line="360" w:lineRule="auto"/>
        <w:ind w:firstLine="480" w:firstLineChars="200"/>
        <w:rPr>
          <w:rFonts w:ascii="宋体" w:hAnsi="宋体" w:cs="宋体"/>
          <w:b/>
          <w:color w:val="auto"/>
          <w:sz w:val="24"/>
          <w:highlight w:val="none"/>
        </w:rPr>
      </w:pPr>
      <w:r>
        <w:rPr>
          <w:rFonts w:hint="eastAsia" w:ascii="宋体" w:hAnsi="宋体" w:cs="宋体"/>
          <w:color w:val="auto"/>
          <w:sz w:val="24"/>
          <w:highlight w:val="none"/>
        </w:rPr>
        <w:t>平等对待内外资企业和符合条件的破产重整企业，切实保障企业公平竞争，平等维护企业的合法利益。</w:t>
      </w:r>
      <w:r>
        <w:rPr>
          <w:rFonts w:hint="eastAsia" w:ascii="宋体" w:hAnsi="宋体" w:cs="宋体"/>
          <w:color w:val="auto"/>
          <w:sz w:val="24"/>
          <w:highlight w:val="none"/>
        </w:rPr>
        <w:cr/>
      </w:r>
      <w:r>
        <w:rPr>
          <w:rFonts w:hint="eastAsia" w:ascii="宋体" w:hAnsi="宋体" w:cs="宋体"/>
          <w:b/>
          <w:color w:val="auto"/>
          <w:sz w:val="24"/>
          <w:highlight w:val="none"/>
        </w:rPr>
        <w:t>4. 询问、质疑、投诉</w:t>
      </w:r>
      <w:r>
        <w:rPr>
          <w:rFonts w:hint="eastAsia" w:ascii="宋体" w:hAnsi="宋体" w:cs="仿宋"/>
          <w:color w:val="auto"/>
          <w:sz w:val="24"/>
          <w:highlight w:val="none"/>
        </w:rPr>
        <w:t>、补偿救济</w:t>
      </w:r>
    </w:p>
    <w:p>
      <w:pPr>
        <w:pStyle w:val="889"/>
        <w:shd w:val="clear" w:color="auto" w:fill="FFFFFF"/>
        <w:adjustRightInd w:val="0"/>
        <w:snapToGrid w:val="0"/>
        <w:spacing w:before="0" w:beforeAutospacing="0" w:after="0" w:afterAutospacing="0" w:line="360" w:lineRule="auto"/>
        <w:ind w:firstLine="480" w:firstLineChars="200"/>
        <w:contextualSpacing/>
        <w:rPr>
          <w:color w:val="auto"/>
          <w:highlight w:val="none"/>
        </w:rPr>
      </w:pPr>
      <w:r>
        <w:rPr>
          <w:rFonts w:hint="eastAsia"/>
          <w:color w:val="auto"/>
          <w:highlight w:val="none"/>
        </w:rPr>
        <w:t>4.1在线询问、质疑、投诉</w:t>
      </w:r>
    </w:p>
    <w:p>
      <w:pPr>
        <w:pStyle w:val="889"/>
        <w:shd w:val="clear" w:color="auto" w:fill="FFFFFF"/>
        <w:adjustRightInd w:val="0"/>
        <w:snapToGrid w:val="0"/>
        <w:spacing w:before="0" w:beforeAutospacing="0" w:after="0" w:afterAutospacing="0" w:line="360" w:lineRule="auto"/>
        <w:ind w:firstLine="480" w:firstLineChars="200"/>
        <w:contextualSpacing/>
        <w:rPr>
          <w:color w:val="auto"/>
          <w:highlight w:val="none"/>
        </w:rPr>
      </w:pPr>
      <w:r>
        <w:rPr>
          <w:rFonts w:hint="eastAsia"/>
          <w:color w:val="auto"/>
          <w:highlight w:val="none"/>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napToGrid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4.2供应商询问</w:t>
      </w:r>
    </w:p>
    <w:p>
      <w:pPr>
        <w:autoSpaceDE w:val="0"/>
        <w:autoSpaceDN w:val="0"/>
        <w:snapToGrid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napToGrid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4.3供应商质疑</w:t>
      </w:r>
    </w:p>
    <w:p>
      <w:pPr>
        <w:pStyle w:val="34"/>
        <w:snapToGrid w:val="0"/>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.1提出质疑的供应商应当是参与所质疑项目采购活动的供应商。潜在供应商已依法获取其可质疑的采购文件的，可以对该文件提出质疑。</w:t>
      </w:r>
    </w:p>
    <w:p>
      <w:pPr>
        <w:pStyle w:val="34"/>
        <w:snapToGrid w:val="0"/>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2供应商认为采购文件、采购过程和成交结果使自己的权益受到损害的，可以在知道或者应知其权益受到损害之日起七个工作日内，以书面形式向采购人或者采购代理机构提出质疑，否则，采购人或者采购代理机构不予受理：</w:t>
      </w:r>
    </w:p>
    <w:p>
      <w:pPr>
        <w:pStyle w:val="5"/>
        <w:spacing w:line="360" w:lineRule="auto"/>
        <w:ind w:firstLine="480" w:firstLineChars="200"/>
        <w:rPr>
          <w:rFonts w:hAnsi="宋体" w:cs="宋体"/>
          <w:snapToGrid/>
          <w:color w:val="auto"/>
          <w:kern w:val="2"/>
          <w:sz w:val="24"/>
          <w:highlight w:val="none"/>
        </w:rPr>
      </w:pPr>
      <w:r>
        <w:rPr>
          <w:rFonts w:hint="eastAsia" w:hAnsi="宋体" w:cs="宋体"/>
          <w:snapToGrid/>
          <w:color w:val="auto"/>
          <w:kern w:val="2"/>
          <w:sz w:val="24"/>
          <w:highlight w:val="none"/>
        </w:rPr>
        <w:t>4.3.2.1对采购文件提出质疑的，质疑期限为供应商获得采购文件之日或者采购文件公告期限届满之日起计算。</w:t>
      </w:r>
    </w:p>
    <w:p>
      <w:pPr>
        <w:pStyle w:val="34"/>
        <w:snapToGrid w:val="0"/>
        <w:spacing w:line="360" w:lineRule="auto"/>
        <w:ind w:firstLine="480" w:firstLineChars="200"/>
        <w:rPr>
          <w:rFonts w:hAnsi="宋体" w:cs="宋体"/>
          <w:color w:val="auto"/>
          <w:sz w:val="24"/>
          <w:highlight w:val="none"/>
        </w:rPr>
      </w:pPr>
      <w:r>
        <w:rPr>
          <w:rFonts w:hint="eastAsia" w:hAnsi="宋体" w:cs="宋体"/>
          <w:color w:val="auto"/>
          <w:sz w:val="24"/>
          <w:highlight w:val="none"/>
        </w:rPr>
        <w:t>4.3.2.2对采购过程提出质疑的，质疑期限为各采购程序环节结束之日起计算。</w:t>
      </w:r>
    </w:p>
    <w:p>
      <w:pPr>
        <w:pStyle w:val="34"/>
        <w:snapToGrid w:val="0"/>
        <w:spacing w:line="360" w:lineRule="auto"/>
        <w:ind w:firstLine="480" w:firstLineChars="200"/>
        <w:rPr>
          <w:rFonts w:hAnsi="宋体" w:cs="宋体"/>
          <w:color w:val="auto"/>
          <w:sz w:val="24"/>
          <w:highlight w:val="none"/>
        </w:rPr>
      </w:pPr>
      <w:r>
        <w:rPr>
          <w:rFonts w:hint="eastAsia" w:hAnsi="宋体" w:cs="宋体"/>
          <w:color w:val="auto"/>
          <w:sz w:val="24"/>
          <w:highlight w:val="none"/>
        </w:rPr>
        <w:t>4.3.2.3对采购结果提出质疑的，质疑期限自采购结果公告期限届满之日起计算。</w:t>
      </w:r>
    </w:p>
    <w:p>
      <w:pPr>
        <w:pStyle w:val="34"/>
        <w:snapToGrid w:val="0"/>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4.3.3</w:t>
      </w:r>
      <w:r>
        <w:rPr>
          <w:rFonts w:hint="eastAsia" w:hAnsi="宋体" w:cs="宋体"/>
          <w:color w:val="auto"/>
          <w:sz w:val="24"/>
          <w:highlight w:val="none"/>
        </w:rPr>
        <w:t>供应商提出质疑应当提交质疑函和必要的证明材料。质疑函应当包括下列内容：</w:t>
      </w:r>
    </w:p>
    <w:p>
      <w:pPr>
        <w:pStyle w:val="34"/>
        <w:snapToGrid w:val="0"/>
        <w:spacing w:line="360" w:lineRule="auto"/>
        <w:ind w:firstLine="720" w:firstLineChars="300"/>
        <w:rPr>
          <w:rFonts w:hAnsi="宋体" w:cs="宋体"/>
          <w:color w:val="auto"/>
          <w:kern w:val="0"/>
          <w:sz w:val="24"/>
          <w:highlight w:val="none"/>
          <w:lang w:val="zh-CN"/>
        </w:rPr>
      </w:pPr>
      <w:r>
        <w:rPr>
          <w:rFonts w:hint="eastAsia" w:hAnsi="宋体" w:cs="宋体"/>
          <w:color w:val="auto"/>
          <w:kern w:val="0"/>
          <w:sz w:val="24"/>
          <w:highlight w:val="none"/>
          <w:lang w:val="zh-CN"/>
        </w:rPr>
        <w:t>4.3.3.1供应商的姓名或者名称、地址、邮编、联系人及联系电话；</w:t>
      </w:r>
    </w:p>
    <w:p>
      <w:pPr>
        <w:pStyle w:val="34"/>
        <w:snapToGrid w:val="0"/>
        <w:spacing w:line="360" w:lineRule="auto"/>
        <w:ind w:firstLine="720" w:firstLineChars="300"/>
        <w:rPr>
          <w:rFonts w:hAnsi="宋体" w:cs="宋体"/>
          <w:color w:val="auto"/>
          <w:kern w:val="0"/>
          <w:sz w:val="24"/>
          <w:highlight w:val="none"/>
          <w:lang w:val="zh-CN"/>
        </w:rPr>
      </w:pPr>
      <w:r>
        <w:rPr>
          <w:rFonts w:hint="eastAsia" w:hAnsi="宋体" w:cs="宋体"/>
          <w:color w:val="auto"/>
          <w:kern w:val="0"/>
          <w:sz w:val="24"/>
          <w:highlight w:val="none"/>
          <w:lang w:val="zh-CN"/>
        </w:rPr>
        <w:t>4.3.3.2质疑项目的名称、编号；</w:t>
      </w:r>
    </w:p>
    <w:p>
      <w:pPr>
        <w:pStyle w:val="34"/>
        <w:snapToGrid w:val="0"/>
        <w:spacing w:line="360" w:lineRule="auto"/>
        <w:ind w:firstLine="720" w:firstLineChars="300"/>
        <w:rPr>
          <w:rFonts w:hAnsi="宋体" w:cs="宋体"/>
          <w:color w:val="auto"/>
          <w:kern w:val="0"/>
          <w:sz w:val="24"/>
          <w:highlight w:val="none"/>
          <w:lang w:val="zh-CN"/>
        </w:rPr>
      </w:pPr>
      <w:r>
        <w:rPr>
          <w:rFonts w:hint="eastAsia" w:hAnsi="宋体" w:cs="宋体"/>
          <w:color w:val="auto"/>
          <w:kern w:val="0"/>
          <w:sz w:val="24"/>
          <w:highlight w:val="none"/>
          <w:lang w:val="zh-CN"/>
        </w:rPr>
        <w:t>4.3.3.3具体、明确的质疑事项和与质疑事项相关的请求；</w:t>
      </w:r>
    </w:p>
    <w:p>
      <w:pPr>
        <w:pStyle w:val="34"/>
        <w:snapToGrid w:val="0"/>
        <w:spacing w:line="360" w:lineRule="auto"/>
        <w:ind w:firstLine="720" w:firstLineChars="300"/>
        <w:rPr>
          <w:rFonts w:hAnsi="宋体" w:cs="宋体"/>
          <w:color w:val="auto"/>
          <w:kern w:val="0"/>
          <w:sz w:val="24"/>
          <w:highlight w:val="none"/>
          <w:lang w:val="zh-CN"/>
        </w:rPr>
      </w:pPr>
      <w:r>
        <w:rPr>
          <w:rFonts w:hint="eastAsia" w:hAnsi="宋体" w:cs="宋体"/>
          <w:color w:val="auto"/>
          <w:kern w:val="0"/>
          <w:sz w:val="24"/>
          <w:highlight w:val="none"/>
          <w:lang w:val="zh-CN"/>
        </w:rPr>
        <w:t>4.3.3.4事实依据；</w:t>
      </w:r>
    </w:p>
    <w:p>
      <w:pPr>
        <w:pStyle w:val="34"/>
        <w:snapToGrid w:val="0"/>
        <w:spacing w:line="360" w:lineRule="auto"/>
        <w:ind w:firstLine="720" w:firstLineChars="300"/>
        <w:rPr>
          <w:rFonts w:hAnsi="宋体" w:cs="宋体"/>
          <w:color w:val="auto"/>
          <w:kern w:val="0"/>
          <w:sz w:val="24"/>
          <w:highlight w:val="none"/>
          <w:lang w:val="zh-CN"/>
        </w:rPr>
      </w:pPr>
      <w:r>
        <w:rPr>
          <w:rFonts w:hint="eastAsia" w:hAnsi="宋体" w:cs="宋体"/>
          <w:color w:val="auto"/>
          <w:kern w:val="0"/>
          <w:sz w:val="24"/>
          <w:highlight w:val="none"/>
          <w:lang w:val="zh-CN"/>
        </w:rPr>
        <w:t>4.3.3.5必要的法律依据；</w:t>
      </w:r>
    </w:p>
    <w:p>
      <w:pPr>
        <w:pStyle w:val="34"/>
        <w:snapToGrid w:val="0"/>
        <w:spacing w:line="360" w:lineRule="auto"/>
        <w:ind w:firstLine="720" w:firstLineChars="300"/>
        <w:rPr>
          <w:rFonts w:hAnsi="宋体" w:cs="宋体"/>
          <w:color w:val="auto"/>
          <w:kern w:val="0"/>
          <w:sz w:val="24"/>
          <w:highlight w:val="none"/>
          <w:lang w:val="zh-CN"/>
        </w:rPr>
      </w:pPr>
      <w:r>
        <w:rPr>
          <w:rFonts w:hint="eastAsia" w:hAnsi="宋体" w:cs="宋体"/>
          <w:color w:val="auto"/>
          <w:kern w:val="0"/>
          <w:sz w:val="24"/>
          <w:highlight w:val="none"/>
          <w:lang w:val="zh-CN"/>
        </w:rPr>
        <w:t>4.3.3.6提出质疑的日期。</w:t>
      </w:r>
    </w:p>
    <w:p>
      <w:pPr>
        <w:pStyle w:val="889"/>
        <w:shd w:val="clear" w:color="auto" w:fill="FFFFFF"/>
        <w:adjustRightInd w:val="0"/>
        <w:snapToGrid w:val="0"/>
        <w:spacing w:before="0" w:beforeAutospacing="0" w:after="0" w:afterAutospacing="0" w:line="360" w:lineRule="auto"/>
        <w:ind w:firstLine="480" w:firstLineChars="200"/>
        <w:contextualSpacing/>
        <w:rPr>
          <w:color w:val="auto"/>
          <w:highlight w:val="none"/>
        </w:rPr>
      </w:pPr>
      <w:r>
        <w:rPr>
          <w:rFonts w:hint="eastAsia"/>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889"/>
        <w:shd w:val="clear" w:color="auto" w:fill="FFFFFF"/>
        <w:adjustRightInd w:val="0"/>
        <w:snapToGrid w:val="0"/>
        <w:spacing w:before="0" w:beforeAutospacing="0" w:after="0" w:afterAutospacing="0" w:line="360" w:lineRule="auto"/>
        <w:ind w:firstLine="480" w:firstLineChars="200"/>
        <w:contextualSpacing/>
        <w:rPr>
          <w:color w:val="auto"/>
          <w:highlight w:val="none"/>
        </w:rPr>
      </w:pPr>
      <w:r>
        <w:rPr>
          <w:rFonts w:hint="eastAsia"/>
          <w:color w:val="auto"/>
          <w:highlight w:val="none"/>
        </w:rPr>
        <w:t>质疑函范本及制作说明详见附件2。</w:t>
      </w:r>
    </w:p>
    <w:p>
      <w:pPr>
        <w:pStyle w:val="889"/>
        <w:shd w:val="clear" w:color="auto" w:fill="FFFFFF"/>
        <w:adjustRightInd w:val="0"/>
        <w:snapToGrid w:val="0"/>
        <w:spacing w:before="0" w:beforeAutospacing="0" w:after="0" w:afterAutospacing="0" w:line="360" w:lineRule="auto"/>
        <w:ind w:firstLine="480" w:firstLineChars="200"/>
        <w:contextualSpacing/>
        <w:rPr>
          <w:color w:val="auto"/>
          <w:highlight w:val="none"/>
        </w:rPr>
      </w:pPr>
      <w:r>
        <w:rPr>
          <w:rFonts w:hint="eastAsia"/>
          <w:color w:val="auto"/>
          <w:highlight w:val="none"/>
        </w:rPr>
        <w:t>4.3.4对同一采购程序环节的质疑，供应商须在法定质疑期内一次性提出。</w:t>
      </w:r>
    </w:p>
    <w:p>
      <w:pPr>
        <w:pStyle w:val="889"/>
        <w:shd w:val="clear" w:color="auto" w:fill="FFFFFF"/>
        <w:adjustRightInd w:val="0"/>
        <w:snapToGrid w:val="0"/>
        <w:spacing w:before="0" w:beforeAutospacing="0" w:after="0" w:afterAutospacing="0" w:line="360" w:lineRule="auto"/>
        <w:ind w:firstLine="480" w:firstLineChars="200"/>
        <w:contextualSpacing/>
        <w:rPr>
          <w:color w:val="auto"/>
          <w:highlight w:val="none"/>
        </w:rPr>
      </w:pPr>
      <w:r>
        <w:rPr>
          <w:rFonts w:hint="eastAsia"/>
          <w:color w:val="auto"/>
          <w:highlight w:val="none"/>
          <w:lang w:val="zh-CN"/>
        </w:rPr>
        <w:t>4.3</w:t>
      </w:r>
      <w:r>
        <w:rPr>
          <w:rFonts w:hint="eastAsia"/>
          <w:color w:val="auto"/>
          <w:highlight w:val="none"/>
        </w:rPr>
        <w:t>.5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其他公告”栏目公开质疑答复，答复内容应当完整。质疑函作为附件上传。</w:t>
      </w:r>
    </w:p>
    <w:p>
      <w:pPr>
        <w:pStyle w:val="889"/>
        <w:shd w:val="clear" w:color="auto" w:fill="FFFFFF"/>
        <w:adjustRightInd w:val="0"/>
        <w:snapToGrid w:val="0"/>
        <w:spacing w:before="0" w:beforeAutospacing="0" w:after="0" w:afterAutospacing="0" w:line="360" w:lineRule="auto"/>
        <w:ind w:firstLine="480" w:firstLineChars="200"/>
        <w:contextualSpacing/>
        <w:rPr>
          <w:color w:val="auto"/>
          <w:highlight w:val="none"/>
        </w:rPr>
      </w:pPr>
      <w:r>
        <w:rPr>
          <w:rFonts w:hint="eastAsia"/>
          <w:color w:val="auto"/>
          <w:highlight w:val="none"/>
          <w:lang w:val="zh-CN"/>
        </w:rPr>
        <w:t>4.3</w:t>
      </w:r>
      <w:r>
        <w:rPr>
          <w:rFonts w:hint="eastAsia"/>
          <w:color w:val="auto"/>
          <w:highlight w:val="none"/>
        </w:rPr>
        <w:t>.6询问或者质疑事项可能影响采购结果的，采购人应当暂停签订合同，已经签订合同的，应当中止履行合同。</w:t>
      </w:r>
    </w:p>
    <w:p>
      <w:pPr>
        <w:pStyle w:val="889"/>
        <w:shd w:val="clear" w:color="auto" w:fill="FFFFFF"/>
        <w:adjustRightInd w:val="0"/>
        <w:snapToGrid w:val="0"/>
        <w:spacing w:before="0" w:beforeAutospacing="0" w:after="0" w:afterAutospacing="0" w:line="360" w:lineRule="auto"/>
        <w:ind w:firstLine="480" w:firstLineChars="200"/>
        <w:contextualSpacing/>
        <w:rPr>
          <w:color w:val="auto"/>
          <w:highlight w:val="none"/>
          <w:lang w:val="zh-CN"/>
        </w:rPr>
      </w:pPr>
      <w:r>
        <w:rPr>
          <w:rFonts w:hint="eastAsia"/>
          <w:color w:val="auto"/>
          <w:highlight w:val="none"/>
          <w:lang w:val="zh-CN"/>
        </w:rPr>
        <w:t>4.4供应商投诉</w:t>
      </w:r>
    </w:p>
    <w:p>
      <w:pPr>
        <w:pStyle w:val="889"/>
        <w:shd w:val="clear" w:color="auto" w:fill="FFFFFF"/>
        <w:adjustRightInd w:val="0"/>
        <w:snapToGrid w:val="0"/>
        <w:spacing w:before="0" w:beforeAutospacing="0" w:after="0" w:afterAutospacing="0" w:line="360" w:lineRule="auto"/>
        <w:ind w:firstLine="480" w:firstLineChars="200"/>
        <w:contextualSpacing/>
        <w:rPr>
          <w:color w:val="auto"/>
          <w:highlight w:val="none"/>
        </w:rPr>
      </w:pPr>
      <w:r>
        <w:rPr>
          <w:rFonts w:hint="eastAsia"/>
          <w:color w:val="auto"/>
          <w:highlight w:val="none"/>
        </w:rPr>
        <w:t>4.4.1质疑供应商对采购人、采购代理机构的答复不满意或者采购人、采购代理机构未在规定的时间内作出答复的，可以在答复期满后十五个工作日内向同级政府采购监督管理部门提出投诉。</w:t>
      </w:r>
    </w:p>
    <w:p>
      <w:pPr>
        <w:pStyle w:val="889"/>
        <w:shd w:val="clear" w:color="auto" w:fill="FFFFFF"/>
        <w:adjustRightInd w:val="0"/>
        <w:snapToGrid w:val="0"/>
        <w:spacing w:before="0" w:beforeAutospacing="0" w:after="0" w:afterAutospacing="0" w:line="360" w:lineRule="auto"/>
        <w:ind w:firstLine="480" w:firstLineChars="200"/>
        <w:contextualSpacing/>
        <w:rPr>
          <w:color w:val="auto"/>
          <w:highlight w:val="none"/>
        </w:rPr>
      </w:pPr>
      <w:r>
        <w:rPr>
          <w:rFonts w:hint="eastAsia"/>
          <w:color w:val="auto"/>
          <w:highlight w:val="none"/>
        </w:rPr>
        <w:t>4.4.</w:t>
      </w:r>
      <w:r>
        <w:rPr>
          <w:rFonts w:hint="eastAsia"/>
          <w:color w:val="auto"/>
          <w:highlight w:val="none"/>
          <w:lang w:val="zh-CN"/>
        </w:rPr>
        <w:t>2</w:t>
      </w:r>
      <w:r>
        <w:rPr>
          <w:rFonts w:hint="eastAsia"/>
          <w:color w:val="auto"/>
          <w:highlight w:val="none"/>
        </w:rPr>
        <w:t>供应商投诉的事项不得超出已质疑事项的范围，基于质疑答复内容提出的投诉事项除外。</w:t>
      </w:r>
    </w:p>
    <w:p>
      <w:pPr>
        <w:pStyle w:val="889"/>
        <w:shd w:val="clear" w:color="auto" w:fill="FFFFFF"/>
        <w:adjustRightInd w:val="0"/>
        <w:snapToGrid w:val="0"/>
        <w:spacing w:before="0" w:beforeAutospacing="0" w:after="0" w:afterAutospacing="0" w:line="360" w:lineRule="auto"/>
        <w:ind w:firstLine="480" w:firstLineChars="200"/>
        <w:contextualSpacing/>
        <w:rPr>
          <w:color w:val="auto"/>
          <w:highlight w:val="none"/>
        </w:rPr>
      </w:pPr>
      <w:r>
        <w:rPr>
          <w:rFonts w:hint="eastAsia"/>
          <w:color w:val="auto"/>
          <w:highlight w:val="none"/>
        </w:rPr>
        <w:t>4.4.3供应商投诉应当有明确的请求和必要的证明材料。</w:t>
      </w:r>
    </w:p>
    <w:p>
      <w:pPr>
        <w:pStyle w:val="889"/>
        <w:shd w:val="clear" w:color="auto" w:fill="FFFFFF"/>
        <w:adjustRightInd w:val="0"/>
        <w:snapToGrid w:val="0"/>
        <w:spacing w:before="0" w:beforeAutospacing="0" w:after="0" w:afterAutospacing="0" w:line="360" w:lineRule="auto"/>
        <w:ind w:firstLine="480" w:firstLineChars="200"/>
        <w:contextualSpacing/>
        <w:rPr>
          <w:color w:val="auto"/>
          <w:highlight w:val="none"/>
        </w:rPr>
      </w:pPr>
      <w:r>
        <w:rPr>
          <w:rFonts w:hint="eastAsia"/>
          <w:color w:val="auto"/>
          <w:highlight w:val="none"/>
        </w:rPr>
        <w:t>4.4.4以联合体形式参加政府采购活动的，其投诉应当由组成联合体的所有供应商共同提出。</w:t>
      </w:r>
    </w:p>
    <w:p>
      <w:pPr>
        <w:pStyle w:val="889"/>
        <w:shd w:val="clear" w:color="auto" w:fill="FFFFFF"/>
        <w:snapToGrid w:val="0"/>
        <w:spacing w:after="240" w:afterAutospacing="0" w:line="360" w:lineRule="auto"/>
        <w:ind w:firstLine="480" w:firstLineChars="200"/>
        <w:contextualSpacing/>
        <w:rPr>
          <w:color w:val="auto"/>
          <w:highlight w:val="none"/>
        </w:rPr>
      </w:pPr>
      <w:r>
        <w:rPr>
          <w:rFonts w:hint="eastAsia" w:asciiTheme="minorEastAsia" w:hAnsiTheme="minorEastAsia" w:eastAsiaTheme="minorEastAsia"/>
          <w:color w:val="auto"/>
          <w:highlight w:val="none"/>
        </w:rPr>
        <w:t>4.4.5</w:t>
      </w:r>
      <w:r>
        <w:rPr>
          <w:rFonts w:hint="eastAsia"/>
          <w:color w:val="auto"/>
          <w:highlight w:val="none"/>
        </w:rPr>
        <w:t>根据政府采购行政裁决省市区三级联动试点工作安排，杭州市本级、拱墅区、富阳区政府采购项目投诉材料可寄送至浙江省政府采购行政裁决服务中心（杭州），地址：杭州市上城区四季青街道新业路市民之家G03办公室，收件人：朱女士、王女士，电话：0571-85252453。</w:t>
      </w:r>
    </w:p>
    <w:p>
      <w:pPr>
        <w:snapToGrid w:val="0"/>
        <w:spacing w:line="360" w:lineRule="auto"/>
        <w:ind w:firstLine="480" w:firstLineChars="200"/>
        <w:rPr>
          <w:rFonts w:ascii="宋体" w:hAnsi="宋体" w:cs="仿宋"/>
          <w:color w:val="auto"/>
          <w:sz w:val="24"/>
          <w:highlight w:val="none"/>
        </w:rPr>
      </w:pPr>
      <w:r>
        <w:rPr>
          <w:rFonts w:hint="eastAsia" w:ascii="宋体" w:hAnsi="宋体" w:cs="仿宋"/>
          <w:color w:val="auto"/>
          <w:sz w:val="24"/>
          <w:highlight w:val="none"/>
        </w:rPr>
        <w:t>4.5 补偿救济</w:t>
      </w:r>
    </w:p>
    <w:p>
      <w:pPr>
        <w:snapToGrid w:val="0"/>
        <w:spacing w:line="360" w:lineRule="auto"/>
        <w:ind w:firstLine="480" w:firstLineChars="200"/>
        <w:rPr>
          <w:rFonts w:ascii="宋体" w:hAnsi="宋体" w:cs="仿宋"/>
          <w:color w:val="auto"/>
          <w:sz w:val="24"/>
          <w:highlight w:val="none"/>
        </w:rPr>
      </w:pPr>
      <w:r>
        <w:rPr>
          <w:rFonts w:hint="eastAsia" w:ascii="宋体" w:hAnsi="宋体" w:cs="仿宋"/>
          <w:color w:val="auto"/>
          <w:sz w:val="24"/>
          <w:highlight w:val="none"/>
        </w:rPr>
        <w:t>采购人（行政机关）因政策变化、规划调整而不履行政府采购合同的，供应商可依据《杭州市涉企补偿救济实施办法（试行）》向采购人（行政机关）提起补偿申请。</w:t>
      </w:r>
    </w:p>
    <w:p>
      <w:pPr>
        <w:pStyle w:val="889"/>
        <w:shd w:val="clear" w:color="auto" w:fill="FFFFFF"/>
        <w:adjustRightInd w:val="0"/>
        <w:snapToGrid w:val="0"/>
        <w:spacing w:before="0" w:beforeAutospacing="0" w:after="0" w:afterAutospacing="0" w:line="360" w:lineRule="auto"/>
        <w:ind w:firstLine="480" w:firstLineChars="200"/>
        <w:contextualSpacing/>
        <w:rPr>
          <w:color w:val="auto"/>
          <w:highlight w:val="none"/>
        </w:rPr>
      </w:pPr>
      <w:r>
        <w:rPr>
          <w:rFonts w:hint="eastAsia"/>
          <w:color w:val="auto"/>
          <w:highlight w:val="none"/>
        </w:rPr>
        <w:t>投诉书范本及制作说明详见附件3。</w:t>
      </w:r>
    </w:p>
    <w:p>
      <w:pPr>
        <w:pStyle w:val="131"/>
        <w:snapToGrid w:val="0"/>
        <w:spacing w:before="0"/>
        <w:ind w:firstLine="360"/>
        <w:rPr>
          <w:rFonts w:ascii="宋体" w:hAnsi="宋体" w:cs="宋体"/>
          <w:color w:val="auto"/>
          <w:sz w:val="18"/>
          <w:szCs w:val="18"/>
          <w:highlight w:val="none"/>
        </w:rPr>
      </w:pPr>
    </w:p>
    <w:p>
      <w:pPr>
        <w:snapToGrid w:val="0"/>
        <w:spacing w:line="360" w:lineRule="auto"/>
        <w:jc w:val="center"/>
        <w:outlineLvl w:val="0"/>
        <w:rPr>
          <w:rFonts w:ascii="宋体" w:hAnsi="宋体" w:cs="宋体"/>
          <w:b/>
          <w:color w:val="auto"/>
          <w:sz w:val="32"/>
          <w:szCs w:val="20"/>
          <w:highlight w:val="none"/>
        </w:rPr>
      </w:pPr>
      <w:r>
        <w:rPr>
          <w:rFonts w:hint="eastAsia" w:ascii="宋体" w:hAnsi="宋体" w:cs="宋体"/>
          <w:b/>
          <w:color w:val="auto"/>
          <w:sz w:val="32"/>
          <w:szCs w:val="20"/>
          <w:highlight w:val="none"/>
        </w:rPr>
        <w:t>二、采购文件的构成、澄清、修改</w:t>
      </w:r>
    </w:p>
    <w:p>
      <w:pPr>
        <w:pStyle w:val="34"/>
        <w:spacing w:line="360" w:lineRule="auto"/>
        <w:rPr>
          <w:rFonts w:hAnsi="宋体" w:cs="宋体"/>
          <w:b/>
          <w:color w:val="auto"/>
          <w:sz w:val="24"/>
          <w:szCs w:val="24"/>
          <w:highlight w:val="none"/>
        </w:rPr>
      </w:pPr>
      <w:r>
        <w:rPr>
          <w:rFonts w:hint="eastAsia" w:hAnsi="宋体" w:cs="宋体"/>
          <w:b/>
          <w:color w:val="auto"/>
          <w:sz w:val="24"/>
          <w:szCs w:val="24"/>
          <w:highlight w:val="none"/>
        </w:rPr>
        <w:t>5．采购文件的构成</w:t>
      </w:r>
    </w:p>
    <w:p>
      <w:pPr>
        <w:pStyle w:val="34"/>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5.1 采购文件包括下列文件及附件：</w:t>
      </w:r>
    </w:p>
    <w:p>
      <w:pPr>
        <w:pStyle w:val="34"/>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5.1.1竞争性磋商公告；</w:t>
      </w:r>
    </w:p>
    <w:p>
      <w:pPr>
        <w:pStyle w:val="34"/>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5.1.2供应商须知；</w:t>
      </w:r>
    </w:p>
    <w:p>
      <w:pPr>
        <w:pStyle w:val="34"/>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5.1.3采购需求；</w:t>
      </w:r>
    </w:p>
    <w:p>
      <w:pPr>
        <w:pStyle w:val="34"/>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5.1.4评审办法；</w:t>
      </w:r>
    </w:p>
    <w:p>
      <w:pPr>
        <w:pStyle w:val="34"/>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5.1.5拟签订的合同文本；</w:t>
      </w:r>
    </w:p>
    <w:p>
      <w:pPr>
        <w:pStyle w:val="34"/>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highlight w:val="none"/>
        </w:rPr>
        <w:t>5.1.6</w:t>
      </w:r>
      <w:r>
        <w:rPr>
          <w:rFonts w:hint="eastAsia" w:hAnsi="宋体" w:cs="宋体"/>
          <w:color w:val="auto"/>
          <w:sz w:val="24"/>
          <w:szCs w:val="24"/>
          <w:highlight w:val="none"/>
        </w:rPr>
        <w:t>应提交的有关格式范例。</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5.2与本项目有关的</w:t>
      </w:r>
      <w:r>
        <w:rPr>
          <w:rFonts w:hint="eastAsia" w:ascii="宋体" w:hAnsi="宋体" w:cs="宋体"/>
          <w:bCs/>
          <w:color w:val="auto"/>
          <w:sz w:val="24"/>
          <w:highlight w:val="none"/>
        </w:rPr>
        <w:t>澄清或者修改的内容为采购文件的组成部分</w:t>
      </w:r>
      <w:r>
        <w:rPr>
          <w:rFonts w:hint="eastAsia" w:ascii="宋体" w:hAnsi="宋体" w:cs="宋体"/>
          <w:color w:val="auto"/>
          <w:sz w:val="24"/>
          <w:highlight w:val="none"/>
        </w:rPr>
        <w:t>。</w:t>
      </w:r>
    </w:p>
    <w:p>
      <w:pPr>
        <w:pStyle w:val="34"/>
        <w:spacing w:line="360" w:lineRule="auto"/>
        <w:rPr>
          <w:rFonts w:hAnsi="宋体" w:cs="宋体"/>
          <w:b/>
          <w:color w:val="auto"/>
          <w:sz w:val="24"/>
          <w:szCs w:val="24"/>
          <w:highlight w:val="none"/>
        </w:rPr>
      </w:pPr>
      <w:r>
        <w:rPr>
          <w:rFonts w:hint="eastAsia" w:hAnsi="宋体" w:cs="宋体"/>
          <w:b/>
          <w:color w:val="auto"/>
          <w:sz w:val="24"/>
          <w:szCs w:val="24"/>
          <w:highlight w:val="none"/>
        </w:rPr>
        <w:t>6. 采购文件的澄清、修改</w:t>
      </w:r>
    </w:p>
    <w:p>
      <w:pPr>
        <w:pStyle w:val="131"/>
        <w:snapToGrid w:val="0"/>
        <w:spacing w:before="0"/>
        <w:ind w:firstLine="480"/>
        <w:rPr>
          <w:rFonts w:ascii="宋体" w:hAnsi="宋体" w:cs="宋体"/>
          <w:color w:val="auto"/>
          <w:highlight w:val="none"/>
        </w:rPr>
      </w:pPr>
      <w:r>
        <w:rPr>
          <w:rFonts w:hint="eastAsia" w:ascii="宋体" w:hAnsi="宋体" w:cs="宋体"/>
          <w:color w:val="auto"/>
          <w:highlight w:val="none"/>
        </w:rPr>
        <w:t>6.1已获取采购文件的潜在供应商，若有问题需要澄清，应于响应文件提交（上传）截止时间前，以书面形式向采购代理机构提出。</w:t>
      </w:r>
    </w:p>
    <w:p>
      <w:pPr>
        <w:pStyle w:val="131"/>
        <w:snapToGrid w:val="0"/>
        <w:spacing w:before="0"/>
        <w:ind w:firstLine="480"/>
        <w:rPr>
          <w:rFonts w:ascii="宋体" w:hAnsi="宋体" w:cs="宋体"/>
          <w:color w:val="auto"/>
          <w:highlight w:val="none"/>
        </w:rPr>
      </w:pPr>
      <w:r>
        <w:rPr>
          <w:rFonts w:hint="eastAsia" w:ascii="宋体" w:hAnsi="宋体" w:cs="宋体"/>
          <w:color w:val="auto"/>
          <w:highlight w:val="none"/>
        </w:rPr>
        <w:t>6.2 采购代理机构对采购文件进行澄清或修改的，将同时通过电子交易平台通知已获取采购文件的潜在供应商。依法应当公告的，将按规定公告，同时视情况延长响应文件提交（上传）截止时间和响应文件开启时间。该澄清或者修改的内容为采购文件的组成部分。</w:t>
      </w:r>
    </w:p>
    <w:p>
      <w:pPr>
        <w:pStyle w:val="23"/>
        <w:rPr>
          <w:rFonts w:hAnsi="宋体" w:cs="宋体"/>
          <w:color w:val="auto"/>
          <w:sz w:val="18"/>
          <w:szCs w:val="18"/>
          <w:highlight w:val="none"/>
          <w:lang w:val="en-US"/>
        </w:rPr>
      </w:pPr>
    </w:p>
    <w:p>
      <w:pPr>
        <w:snapToGrid w:val="0"/>
        <w:spacing w:line="360" w:lineRule="auto"/>
        <w:jc w:val="center"/>
        <w:outlineLvl w:val="0"/>
        <w:rPr>
          <w:rFonts w:ascii="宋体" w:hAnsi="宋体" w:cs="宋体"/>
          <w:b/>
          <w:color w:val="auto"/>
          <w:sz w:val="32"/>
          <w:szCs w:val="20"/>
          <w:highlight w:val="none"/>
        </w:rPr>
      </w:pPr>
      <w:r>
        <w:rPr>
          <w:rFonts w:hint="eastAsia" w:ascii="宋体" w:hAnsi="宋体" w:cs="宋体"/>
          <w:b/>
          <w:color w:val="auto"/>
          <w:sz w:val="32"/>
          <w:szCs w:val="20"/>
          <w:highlight w:val="none"/>
        </w:rPr>
        <w:t>三、提交响应文件</w:t>
      </w:r>
    </w:p>
    <w:p>
      <w:pPr>
        <w:pStyle w:val="34"/>
        <w:spacing w:line="360" w:lineRule="auto"/>
        <w:rPr>
          <w:rFonts w:hAnsi="宋体" w:cs="宋体"/>
          <w:b/>
          <w:color w:val="auto"/>
          <w:sz w:val="24"/>
          <w:szCs w:val="24"/>
          <w:highlight w:val="none"/>
        </w:rPr>
      </w:pPr>
      <w:r>
        <w:rPr>
          <w:rFonts w:hint="eastAsia" w:hAnsi="宋体" w:cs="宋体"/>
          <w:b/>
          <w:color w:val="auto"/>
          <w:sz w:val="24"/>
          <w:szCs w:val="24"/>
          <w:highlight w:val="none"/>
        </w:rPr>
        <w:t>7. 采购文件的获取</w:t>
      </w:r>
    </w:p>
    <w:p>
      <w:pPr>
        <w:spacing w:line="360" w:lineRule="auto"/>
        <w:ind w:firstLine="480" w:firstLineChars="200"/>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详见竞争性磋商公告中获取采购文件的时间期限、地点、方式及采购文件售价。</w:t>
      </w:r>
    </w:p>
    <w:p>
      <w:pPr>
        <w:pStyle w:val="34"/>
        <w:spacing w:line="360" w:lineRule="auto"/>
        <w:rPr>
          <w:rFonts w:hAnsi="宋体" w:cs="宋体"/>
          <w:b/>
          <w:color w:val="auto"/>
          <w:sz w:val="24"/>
          <w:szCs w:val="24"/>
          <w:highlight w:val="none"/>
        </w:rPr>
      </w:pPr>
      <w:r>
        <w:rPr>
          <w:rFonts w:hint="eastAsia" w:hAnsi="宋体" w:cs="宋体"/>
          <w:b/>
          <w:color w:val="auto"/>
          <w:sz w:val="24"/>
          <w:szCs w:val="24"/>
          <w:highlight w:val="none"/>
        </w:rPr>
        <w:t>8.磋商前答疑会或现场考察</w:t>
      </w:r>
    </w:p>
    <w:p>
      <w:pPr>
        <w:pStyle w:val="34"/>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采购人组织潜在供应商现场考察或者召开磋商前答疑会的，潜在供应商按第二部分供应商须知前附表的规定参加现场考察或者磋商前答疑会。</w:t>
      </w:r>
    </w:p>
    <w:p>
      <w:pPr>
        <w:pStyle w:val="34"/>
        <w:spacing w:line="360" w:lineRule="auto"/>
        <w:rPr>
          <w:rFonts w:hAnsi="宋体" w:cs="宋体"/>
          <w:b/>
          <w:color w:val="auto"/>
          <w:szCs w:val="24"/>
          <w:highlight w:val="none"/>
        </w:rPr>
      </w:pPr>
      <w:r>
        <w:rPr>
          <w:rFonts w:hint="eastAsia" w:hAnsi="宋体" w:cs="宋体"/>
          <w:b/>
          <w:color w:val="auto"/>
          <w:kern w:val="28"/>
          <w:sz w:val="24"/>
          <w:szCs w:val="24"/>
          <w:highlight w:val="none"/>
        </w:rPr>
        <w:t>9.磋商保证金</w:t>
      </w:r>
    </w:p>
    <w:p>
      <w:pPr>
        <w:pStyle w:val="5"/>
        <w:spacing w:line="360" w:lineRule="auto"/>
        <w:ind w:firstLine="470" w:firstLineChars="196"/>
        <w:rPr>
          <w:rFonts w:hAnsi="宋体" w:cs="宋体"/>
          <w:color w:val="auto"/>
          <w:sz w:val="24"/>
          <w:highlight w:val="none"/>
        </w:rPr>
      </w:pPr>
      <w:r>
        <w:rPr>
          <w:rFonts w:hint="eastAsia" w:hAnsi="宋体" w:cs="宋体"/>
          <w:color w:val="auto"/>
          <w:sz w:val="24"/>
          <w:highlight w:val="none"/>
        </w:rPr>
        <w:t>本项目不需缴纳磋商保证金。</w:t>
      </w:r>
    </w:p>
    <w:p>
      <w:pPr>
        <w:pStyle w:val="34"/>
        <w:spacing w:line="360" w:lineRule="auto"/>
        <w:rPr>
          <w:rFonts w:hAnsi="宋体" w:cs="宋体"/>
          <w:b/>
          <w:color w:val="auto"/>
          <w:sz w:val="24"/>
          <w:szCs w:val="24"/>
          <w:highlight w:val="none"/>
        </w:rPr>
      </w:pPr>
      <w:r>
        <w:rPr>
          <w:rFonts w:hint="eastAsia" w:hAnsi="宋体" w:cs="宋体"/>
          <w:b/>
          <w:color w:val="auto"/>
          <w:sz w:val="24"/>
          <w:szCs w:val="24"/>
          <w:highlight w:val="none"/>
        </w:rPr>
        <w:t>10. 响应文件的语言</w:t>
      </w:r>
    </w:p>
    <w:p>
      <w:pPr>
        <w:autoSpaceDE w:val="0"/>
        <w:autoSpaceDN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rPr>
        <w:t>响应文件及供应商与采购有关的来往通知、函件和文件均应使用中文。</w:t>
      </w:r>
    </w:p>
    <w:p>
      <w:pPr>
        <w:pStyle w:val="34"/>
        <w:spacing w:line="360" w:lineRule="auto"/>
        <w:rPr>
          <w:rFonts w:hAnsi="宋体" w:cs="宋体"/>
          <w:b/>
          <w:color w:val="auto"/>
          <w:sz w:val="24"/>
          <w:szCs w:val="24"/>
          <w:highlight w:val="none"/>
        </w:rPr>
      </w:pPr>
      <w:r>
        <w:rPr>
          <w:rFonts w:hint="eastAsia" w:hAnsi="宋体" w:cs="宋体"/>
          <w:b/>
          <w:color w:val="auto"/>
          <w:sz w:val="24"/>
          <w:szCs w:val="24"/>
          <w:highlight w:val="none"/>
        </w:rPr>
        <w:t>11. 响应文件的组成</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11.1</w:t>
      </w:r>
      <w:r>
        <w:rPr>
          <w:rFonts w:hint="eastAsia" w:ascii="宋体" w:hAnsi="宋体" w:cs="宋体"/>
          <w:b/>
          <w:color w:val="auto"/>
          <w:sz w:val="24"/>
          <w:highlight w:val="none"/>
        </w:rPr>
        <w:t>资格文件</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11.1.1符合参加政府采购活动应当具备的一般条件的承诺函；</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w:t>
      </w:r>
      <w:r>
        <w:rPr>
          <w:rFonts w:ascii="宋体" w:hAnsi="宋体" w:cs="宋体"/>
          <w:color w:val="auto"/>
          <w:sz w:val="24"/>
          <w:highlight w:val="none"/>
        </w:rPr>
        <w:t>1.1.2</w:t>
      </w:r>
      <w:bookmarkStart w:id="17" w:name="_Hlk101259339"/>
      <w:r>
        <w:rPr>
          <w:rFonts w:hint="eastAsia" w:ascii="宋体" w:hAnsi="宋体" w:cs="宋体"/>
          <w:snapToGrid w:val="0"/>
          <w:color w:val="auto"/>
          <w:kern w:val="28"/>
          <w:sz w:val="24"/>
          <w:szCs w:val="20"/>
          <w:highlight w:val="none"/>
        </w:rPr>
        <w:t>联合协议</w:t>
      </w:r>
      <w:bookmarkStart w:id="18" w:name="_Hlk101257010"/>
      <w:r>
        <w:rPr>
          <w:rFonts w:hint="eastAsia" w:ascii="宋体" w:hAnsi="宋体" w:cs="宋体"/>
          <w:snapToGrid w:val="0"/>
          <w:color w:val="auto"/>
          <w:kern w:val="28"/>
          <w:sz w:val="24"/>
          <w:szCs w:val="20"/>
          <w:highlight w:val="none"/>
        </w:rPr>
        <w:t>（如果有)</w:t>
      </w:r>
      <w:bookmarkEnd w:id="17"/>
      <w:bookmarkEnd w:id="18"/>
      <w:r>
        <w:rPr>
          <w:rFonts w:hint="eastAsia" w:ascii="宋体" w:hAnsi="宋体" w:cs="宋体"/>
          <w:snapToGrid w:val="0"/>
          <w:color w:val="auto"/>
          <w:kern w:val="28"/>
          <w:sz w:val="24"/>
          <w:szCs w:val="20"/>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4</w:t>
      </w:r>
      <w:r>
        <w:rPr>
          <w:rFonts w:hint="eastAsia" w:ascii="宋体" w:hAnsi="宋体" w:cs="宋体"/>
          <w:color w:val="auto"/>
          <w:sz w:val="24"/>
          <w:highlight w:val="none"/>
        </w:rPr>
        <w:t>本项目的特定资格要求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11.2.1响应函；</w:t>
      </w:r>
      <w:r>
        <w:rPr>
          <w:rFonts w:hint="eastAsia" w:ascii="宋体" w:hAnsi="宋体" w:cs="宋体"/>
          <w:color w:val="auto"/>
          <w:sz w:val="24"/>
          <w:highlight w:val="none"/>
          <w:lang w:val="zh-CN"/>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11.2.2授权委托书或法定代表人（单位负责人、自然人本人）身份证明；</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11.2.3分包意向协议（如果有)；</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11.2.4符合性审查资料；</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11.2.5评审标准相应的商务技术资料；</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11.2.6商务技术偏离表；</w:t>
      </w:r>
    </w:p>
    <w:p>
      <w:pPr>
        <w:snapToGrid w:val="0"/>
        <w:spacing w:line="360" w:lineRule="auto"/>
        <w:ind w:firstLine="960" w:firstLineChars="4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7</w:t>
      </w:r>
      <w:r>
        <w:rPr>
          <w:rFonts w:hint="eastAsia" w:ascii="宋体" w:hAnsi="宋体" w:cs="宋体"/>
          <w:color w:val="auto"/>
          <w:sz w:val="24"/>
          <w:highlight w:val="none"/>
          <w:lang w:val="zh-CN"/>
        </w:rPr>
        <w:t>政府采购供应商廉洁自律承诺书；</w:t>
      </w:r>
    </w:p>
    <w:p>
      <w:pPr>
        <w:snapToGrid w:val="0"/>
        <w:spacing w:line="360" w:lineRule="auto"/>
        <w:ind w:firstLine="480" w:firstLineChars="200"/>
        <w:rPr>
          <w:rFonts w:ascii="宋体" w:hAnsi="宋体" w:cs="宋体"/>
          <w:color w:val="auto"/>
          <w:sz w:val="24"/>
          <w:highlight w:val="none"/>
          <w:u w:val="single"/>
          <w:lang w:val="zh-CN"/>
        </w:rPr>
      </w:pPr>
      <w:r>
        <w:rPr>
          <w:rFonts w:hint="eastAsia" w:ascii="宋体" w:hAnsi="宋体" w:cs="宋体"/>
          <w:color w:val="auto"/>
          <w:kern w:val="0"/>
          <w:sz w:val="24"/>
          <w:highlight w:val="none"/>
          <w:lang w:val="zh-CN"/>
        </w:rPr>
        <w:t>11.</w:t>
      </w:r>
      <w:r>
        <w:rPr>
          <w:rFonts w:hint="eastAsia" w:ascii="宋体" w:hAnsi="宋体" w:cs="宋体"/>
          <w:color w:val="auto"/>
          <w:kern w:val="0"/>
          <w:sz w:val="24"/>
          <w:highlight w:val="none"/>
        </w:rPr>
        <w:t>3</w:t>
      </w:r>
      <w:r>
        <w:rPr>
          <w:rFonts w:hint="eastAsia" w:ascii="宋体" w:hAnsi="宋体" w:cs="宋体"/>
          <w:b/>
          <w:color w:val="auto"/>
          <w:sz w:val="24"/>
          <w:highlight w:val="none"/>
        </w:rPr>
        <w:t>报价文件：</w:t>
      </w:r>
      <w:r>
        <w:rPr>
          <w:rFonts w:hint="eastAsia" w:ascii="宋体" w:hAnsi="宋体" w:cs="宋体"/>
          <w:color w:val="auto"/>
          <w:sz w:val="24"/>
          <w:highlight w:val="none"/>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11.3.1报价单；</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11.3.2已标价工程量清单；</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11.3.3中小企业声明函。</w:t>
      </w:r>
    </w:p>
    <w:p>
      <w:pPr>
        <w:pStyle w:val="3"/>
        <w:adjustRightInd w:val="0"/>
        <w:ind w:left="0" w:firstLine="960" w:firstLineChars="400"/>
        <w:rPr>
          <w:color w:val="auto"/>
          <w:highlight w:val="none"/>
        </w:rPr>
      </w:pPr>
      <w:r>
        <w:rPr>
          <w:rFonts w:hint="eastAsia" w:ascii="宋体" w:hAnsi="宋体" w:eastAsia="宋体" w:cs="宋体"/>
          <w:b w:val="0"/>
          <w:bCs w:val="0"/>
          <w:color w:val="auto"/>
          <w:sz w:val="24"/>
          <w:szCs w:val="24"/>
          <w:highlight w:val="none"/>
          <w:lang w:val="en-US"/>
        </w:rPr>
        <w:t>11.3.4 报价情况说明（如供应商报价低于项目预算50%的，应当提交本文档，详细阐述不影响产品质量或者诚信履约的具体原因）。</w:t>
      </w:r>
    </w:p>
    <w:p>
      <w:pPr>
        <w:spacing w:line="360" w:lineRule="auto"/>
        <w:ind w:firstLine="723" w:firstLineChars="300"/>
        <w:rPr>
          <w:rFonts w:ascii="宋体" w:hAnsi="宋体" w:cs="宋体"/>
          <w:b/>
          <w:color w:val="auto"/>
          <w:sz w:val="24"/>
          <w:highlight w:val="none"/>
        </w:rPr>
      </w:pPr>
      <w:r>
        <w:rPr>
          <w:rFonts w:hint="eastAsia" w:ascii="宋体" w:hAnsi="宋体" w:cs="宋体"/>
          <w:b/>
          <w:color w:val="auto"/>
          <w:sz w:val="24"/>
          <w:highlight w:val="none"/>
        </w:rPr>
        <w:t>响应文件含有采购人不能接受的附加条件的，响应文件无效；</w:t>
      </w:r>
    </w:p>
    <w:p>
      <w:pPr>
        <w:spacing w:line="360" w:lineRule="auto"/>
        <w:ind w:firstLine="723" w:firstLineChars="300"/>
        <w:rPr>
          <w:rFonts w:ascii="宋体" w:hAnsi="宋体" w:cs="宋体"/>
          <w:b/>
          <w:color w:val="auto"/>
          <w:sz w:val="24"/>
          <w:highlight w:val="none"/>
        </w:rPr>
      </w:pPr>
      <w:r>
        <w:rPr>
          <w:rFonts w:hint="eastAsia" w:ascii="宋体" w:hAnsi="宋体" w:cs="宋体"/>
          <w:b/>
          <w:color w:val="auto"/>
          <w:sz w:val="24"/>
          <w:highlight w:val="none"/>
        </w:rPr>
        <w:t>供应商提供虚假材料的，响应文件无效。</w:t>
      </w:r>
    </w:p>
    <w:p>
      <w:pPr>
        <w:spacing w:line="360" w:lineRule="auto"/>
        <w:ind w:firstLine="720" w:firstLineChars="300"/>
        <w:rPr>
          <w:color w:val="auto"/>
          <w:highlight w:val="none"/>
        </w:rPr>
      </w:pPr>
      <w:r>
        <w:rPr>
          <w:rFonts w:hint="eastAsia"/>
          <w:color w:val="auto"/>
          <w:sz w:val="24"/>
          <w:highlight w:val="none"/>
          <w:shd w:val="clear" w:color="auto" w:fill="FFFFFF"/>
        </w:rPr>
        <w:t>供应商应对响应文件中材料的真实性、合法性负责。</w:t>
      </w:r>
    </w:p>
    <w:p>
      <w:pPr>
        <w:pStyle w:val="131"/>
        <w:snapToGrid w:val="0"/>
        <w:spacing w:before="0"/>
        <w:ind w:firstLine="0" w:firstLineChars="0"/>
        <w:outlineLvl w:val="0"/>
        <w:rPr>
          <w:rFonts w:ascii="宋体" w:hAnsi="宋体" w:cs="宋体"/>
          <w:b/>
          <w:color w:val="auto"/>
          <w:szCs w:val="24"/>
          <w:highlight w:val="none"/>
        </w:rPr>
      </w:pPr>
      <w:r>
        <w:rPr>
          <w:rFonts w:hint="eastAsia" w:ascii="宋体" w:hAnsi="宋体" w:cs="宋体"/>
          <w:b/>
          <w:color w:val="auto"/>
          <w:szCs w:val="24"/>
          <w:highlight w:val="none"/>
        </w:rPr>
        <w:t>12</w:t>
      </w:r>
      <w:r>
        <w:rPr>
          <w:rFonts w:hint="eastAsia" w:ascii="宋体" w:hAnsi="宋体" w:cs="宋体"/>
          <w:b/>
          <w:color w:val="auto"/>
          <w:kern w:val="0"/>
          <w:szCs w:val="24"/>
          <w:highlight w:val="none"/>
          <w:lang w:val="zh-CN"/>
        </w:rPr>
        <w:t xml:space="preserve">. </w:t>
      </w:r>
      <w:r>
        <w:rPr>
          <w:rFonts w:hint="eastAsia" w:ascii="宋体" w:hAnsi="宋体" w:cs="宋体"/>
          <w:b/>
          <w:color w:val="auto"/>
          <w:szCs w:val="24"/>
          <w:highlight w:val="none"/>
        </w:rPr>
        <w:t>响应文件的编制</w:t>
      </w:r>
    </w:p>
    <w:p>
      <w:pPr>
        <w:spacing w:line="360" w:lineRule="auto"/>
        <w:ind w:firstLine="480" w:firstLineChars="200"/>
        <w:rPr>
          <w:rFonts w:ascii="宋体" w:hAnsi="宋体" w:cs="宋体"/>
          <w:b/>
          <w:color w:val="auto"/>
          <w:sz w:val="24"/>
          <w:highlight w:val="none"/>
        </w:rPr>
      </w:pPr>
      <w:r>
        <w:rPr>
          <w:rFonts w:hint="eastAsia" w:ascii="宋体" w:hAnsi="宋体" w:cs="宋体"/>
          <w:color w:val="auto"/>
          <w:kern w:val="0"/>
          <w:sz w:val="24"/>
          <w:highlight w:val="none"/>
          <w:lang w:val="zh-CN"/>
        </w:rPr>
        <w:t>12.1响应文件分为资格文件、商务技术文件、报价文件三部分。各供应商在编制响应文件时请按照采购文件第六部分规定的格式进行，混乱的编排导致响应文件被误读或磋商小组查找不到有效文件是供应商的风险。</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12.2供应商进行电子投标应安装客户端软件—“政采云电子交易客户端”，并按照采购文件和电子交易平台的要求编制并加密响应文件。供应商未按规定加密的响应文件，电子交易平台将拒收并提示。</w:t>
      </w:r>
    </w:p>
    <w:p>
      <w:pPr>
        <w:snapToGrid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13.响应文件的签署、盖章</w:t>
      </w:r>
    </w:p>
    <w:p>
      <w:pPr>
        <w:pStyle w:val="131"/>
        <w:snapToGrid w:val="0"/>
        <w:spacing w:before="0"/>
        <w:ind w:firstLine="480"/>
        <w:rPr>
          <w:rFonts w:ascii="宋体" w:hAnsi="宋体" w:cs="宋体"/>
          <w:b/>
          <w:color w:val="auto"/>
          <w:highlight w:val="none"/>
        </w:rPr>
      </w:pPr>
      <w:r>
        <w:rPr>
          <w:rFonts w:hint="eastAsia" w:ascii="宋体" w:hAnsi="宋体" w:cs="宋体"/>
          <w:color w:val="auto"/>
          <w:szCs w:val="24"/>
          <w:highlight w:val="none"/>
        </w:rPr>
        <w:t>13.1响应文件按照采购文件第六部分格式要</w:t>
      </w:r>
      <w:r>
        <w:rPr>
          <w:rFonts w:hint="eastAsia" w:ascii="宋体" w:hAnsi="宋体" w:cs="宋体"/>
          <w:color w:val="auto"/>
          <w:highlight w:val="none"/>
        </w:rPr>
        <w:t>求进行签署、盖章。</w:t>
      </w:r>
      <w:r>
        <w:rPr>
          <w:rFonts w:hint="eastAsia" w:ascii="宋体" w:hAnsi="宋体" w:cs="宋体"/>
          <w:b/>
          <w:color w:val="auto"/>
          <w:highlight w:val="none"/>
        </w:rPr>
        <w:t>▲供应商的响应文件未按照采购文件要求签署、盖章的，其响应文件无效</w:t>
      </w:r>
      <w:r>
        <w:rPr>
          <w:rFonts w:hint="eastAsia" w:ascii="宋体" w:hAnsi="宋体" w:cs="宋体"/>
          <w:color w:val="auto"/>
          <w:szCs w:val="24"/>
          <w:highlight w:val="none"/>
        </w:rPr>
        <w:t>。</w:t>
      </w:r>
    </w:p>
    <w:p>
      <w:pPr>
        <w:pStyle w:val="131"/>
        <w:snapToGrid w:val="0"/>
        <w:spacing w:before="0"/>
        <w:ind w:firstLine="480"/>
        <w:rPr>
          <w:rFonts w:ascii="宋体" w:hAnsi="宋体" w:cs="宋体"/>
          <w:color w:val="auto"/>
          <w:highlight w:val="none"/>
        </w:rPr>
      </w:pPr>
      <w:r>
        <w:rPr>
          <w:rFonts w:hint="eastAsia" w:ascii="宋体" w:hAnsi="宋体" w:cs="宋体"/>
          <w:color w:val="auto"/>
          <w:highlight w:val="none"/>
        </w:rPr>
        <w:t>13.2为确保网上操作合法、有效和安全，供应商应当在响应文件提交（上传）截止时间前完成在“政府采购云平台”的身份认证，确保在电子投标过程中能够对相关数据电文进行加密和使用电子签名。</w:t>
      </w:r>
    </w:p>
    <w:p>
      <w:pPr>
        <w:pStyle w:val="131"/>
        <w:snapToGrid w:val="0"/>
        <w:spacing w:before="0"/>
        <w:ind w:firstLine="480"/>
        <w:rPr>
          <w:rFonts w:ascii="宋体" w:hAnsi="宋体" w:cs="宋体"/>
          <w:color w:val="auto"/>
          <w:szCs w:val="24"/>
          <w:highlight w:val="none"/>
        </w:rPr>
      </w:pPr>
      <w:r>
        <w:rPr>
          <w:rFonts w:hint="eastAsia" w:ascii="宋体" w:hAnsi="宋体" w:cs="宋体"/>
          <w:color w:val="auto"/>
          <w:highlight w:val="none"/>
        </w:rPr>
        <w:t>13.3采购文件对响应文件签署、盖章的要求适用于电子签名。</w:t>
      </w:r>
    </w:p>
    <w:p>
      <w:pPr>
        <w:pStyle w:val="131"/>
        <w:snapToGrid w:val="0"/>
        <w:spacing w:before="0"/>
        <w:ind w:firstLine="0" w:firstLineChars="0"/>
        <w:rPr>
          <w:rFonts w:ascii="宋体" w:hAnsi="宋体" w:cs="宋体"/>
          <w:b/>
          <w:color w:val="auto"/>
          <w:szCs w:val="24"/>
          <w:highlight w:val="none"/>
        </w:rPr>
      </w:pPr>
    </w:p>
    <w:p>
      <w:pPr>
        <w:pStyle w:val="131"/>
        <w:snapToGrid w:val="0"/>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14. 响应文件的提交、补充、修改、撤回</w:t>
      </w:r>
    </w:p>
    <w:p>
      <w:pPr>
        <w:pStyle w:val="131"/>
        <w:snapToGrid w:val="0"/>
        <w:spacing w:before="0"/>
        <w:ind w:firstLine="480"/>
        <w:rPr>
          <w:rFonts w:ascii="宋体" w:hAnsi="宋体" w:cs="宋体"/>
          <w:color w:val="auto"/>
          <w:szCs w:val="24"/>
          <w:highlight w:val="none"/>
        </w:rPr>
      </w:pPr>
      <w:r>
        <w:rPr>
          <w:rFonts w:hint="eastAsia" w:ascii="宋体" w:hAnsi="宋体" w:cs="宋体"/>
          <w:color w:val="auto"/>
          <w:szCs w:val="24"/>
          <w:highlight w:val="none"/>
        </w:rPr>
        <w:t>14.1 供应商应当在响应文件提交（上传）截止时间前完成响应文件的传输递交，并可以补充、修改或者撤回响应文件。补充或者修改响应文件的，应当先行撤回原文件，补充、修改后重新传输递交。响应文件提交（上传）截止时间前未完成传输的，视为撤回响应文件。响应文件提交（上传）截止时间后递交的响应文件，电子交易平台将拒收。</w:t>
      </w:r>
    </w:p>
    <w:p>
      <w:pPr>
        <w:pStyle w:val="131"/>
        <w:snapToGrid w:val="0"/>
        <w:spacing w:before="0"/>
        <w:ind w:firstLine="480"/>
        <w:rPr>
          <w:rFonts w:ascii="宋体" w:hAnsi="宋体" w:cs="宋体"/>
          <w:color w:val="auto"/>
          <w:szCs w:val="24"/>
          <w:highlight w:val="none"/>
        </w:rPr>
      </w:pPr>
      <w:r>
        <w:rPr>
          <w:rFonts w:hint="eastAsia" w:ascii="宋体" w:hAnsi="宋体" w:cs="宋体"/>
          <w:color w:val="auto"/>
          <w:szCs w:val="24"/>
          <w:highlight w:val="none"/>
        </w:rPr>
        <w:t>14.2电子交易平台收到响应文件，将妥善保存并即时向供应商发出确认回执通知。在响应文件提交（上传）截止时间前，除供应商补充、修改或者撤回响应文件外，任何单位和个人不得解密或提取响应文件。</w:t>
      </w:r>
    </w:p>
    <w:p>
      <w:pPr>
        <w:pStyle w:val="131"/>
        <w:snapToGrid w:val="0"/>
        <w:spacing w:before="0"/>
        <w:ind w:firstLine="480"/>
        <w:rPr>
          <w:rFonts w:ascii="宋体" w:hAnsi="宋体" w:cs="宋体"/>
          <w:color w:val="auto"/>
          <w:szCs w:val="24"/>
          <w:highlight w:val="none"/>
        </w:rPr>
      </w:pPr>
      <w:r>
        <w:rPr>
          <w:rFonts w:hint="eastAsia" w:ascii="宋体" w:hAnsi="宋体" w:cs="宋体"/>
          <w:color w:val="auto"/>
          <w:szCs w:val="24"/>
          <w:highlight w:val="none"/>
        </w:rPr>
        <w:t>14.3采购人、采购代理机构可以视情况延长响应文件提交的截止时间。在上述情况下，采购代理机构与供应商以前在响应文件提交截止时间方面的全部权利、责任和义务，将适用于延长至新的响应文件提交截止时间。</w:t>
      </w:r>
    </w:p>
    <w:p>
      <w:pPr>
        <w:pStyle w:val="34"/>
        <w:snapToGrid w:val="0"/>
        <w:spacing w:line="360" w:lineRule="auto"/>
        <w:rPr>
          <w:rFonts w:hAnsi="宋体" w:cs="宋体"/>
          <w:b/>
          <w:color w:val="auto"/>
          <w:sz w:val="24"/>
          <w:szCs w:val="24"/>
          <w:highlight w:val="none"/>
        </w:rPr>
      </w:pPr>
      <w:r>
        <w:rPr>
          <w:rFonts w:hint="eastAsia" w:hAnsi="宋体" w:cs="宋体"/>
          <w:b/>
          <w:color w:val="auto"/>
          <w:sz w:val="24"/>
          <w:szCs w:val="24"/>
          <w:highlight w:val="none"/>
        </w:rPr>
        <w:t>15.备份响应文件</w:t>
      </w:r>
    </w:p>
    <w:p>
      <w:pPr>
        <w:pStyle w:val="34"/>
        <w:snapToGrid w:val="0"/>
        <w:spacing w:line="360" w:lineRule="auto"/>
        <w:ind w:firstLine="360" w:firstLineChars="150"/>
        <w:rPr>
          <w:rFonts w:hAnsi="宋体" w:cs="宋体"/>
          <w:b/>
          <w:color w:val="auto"/>
          <w:sz w:val="24"/>
          <w:szCs w:val="24"/>
          <w:highlight w:val="none"/>
        </w:rPr>
      </w:pPr>
      <w:r>
        <w:rPr>
          <w:rFonts w:hint="eastAsia" w:hAnsi="宋体" w:cs="宋体"/>
          <w:color w:val="auto"/>
          <w:sz w:val="24"/>
          <w:szCs w:val="24"/>
          <w:highlight w:val="none"/>
        </w:rPr>
        <w:t xml:space="preserve"> 15.1供应商在电子交易平台传输递交响应文件后，还可以在响应文件提交（上传）截止时间前直接提交或者以邮政快递方式递交备份响应文件1份，</w:t>
      </w:r>
      <w:r>
        <w:rPr>
          <w:rFonts w:hint="eastAsia" w:hAnsi="宋体" w:cs="宋体"/>
          <w:b/>
          <w:color w:val="auto"/>
          <w:sz w:val="24"/>
          <w:szCs w:val="24"/>
          <w:highlight w:val="none"/>
        </w:rPr>
        <w:t>但采购人、采购代理机构不强制或变相强制供应商提交备份响应文件。</w:t>
      </w:r>
    </w:p>
    <w:p>
      <w:pPr>
        <w:pStyle w:val="34"/>
        <w:snapToGrid w:val="0"/>
        <w:spacing w:line="360" w:lineRule="auto"/>
        <w:ind w:firstLine="480" w:firstLineChars="200"/>
        <w:rPr>
          <w:rFonts w:hAnsi="宋体" w:cs="宋体"/>
          <w:b/>
          <w:color w:val="auto"/>
          <w:sz w:val="24"/>
          <w:szCs w:val="24"/>
          <w:highlight w:val="none"/>
        </w:rPr>
      </w:pPr>
      <w:r>
        <w:rPr>
          <w:rFonts w:hint="eastAsia" w:hAnsi="宋体" w:cs="宋体"/>
          <w:color w:val="auto"/>
          <w:sz w:val="24"/>
          <w:szCs w:val="24"/>
          <w:highlight w:val="none"/>
        </w:rPr>
        <w:t>15.2备份响应文件须在“政采云投标客户端”制作生成，并储存在</w:t>
      </w:r>
      <w:r>
        <w:rPr>
          <w:rFonts w:hint="eastAsia" w:hAnsi="宋体" w:cs="宋体"/>
          <w:color w:val="auto"/>
          <w:sz w:val="24"/>
          <w:highlight w:val="none"/>
        </w:rPr>
        <w:t>DVD光盘等存储介质</w:t>
      </w:r>
      <w:r>
        <w:rPr>
          <w:rFonts w:hint="eastAsia" w:hAnsi="宋体" w:cs="宋体"/>
          <w:color w:val="auto"/>
          <w:sz w:val="24"/>
          <w:szCs w:val="24"/>
          <w:highlight w:val="none"/>
        </w:rPr>
        <w:t>中。备份响应文件应当密封包装并在包装上加盖公章并注明采购项目名称，供应商名称(联合体参与的，包装物封面需注明联合体，并注明联合体成员各方的名称和联合协议中约定的牵头人的名称)。</w:t>
      </w:r>
      <w:r>
        <w:rPr>
          <w:rFonts w:hint="eastAsia" w:hAnsi="宋体" w:cs="宋体"/>
          <w:b/>
          <w:color w:val="auto"/>
          <w:sz w:val="24"/>
          <w:highlight w:val="none"/>
        </w:rPr>
        <w:t>不符合上述制作、</w:t>
      </w:r>
      <w:r>
        <w:rPr>
          <w:rFonts w:hint="eastAsia" w:hAnsi="宋体" w:cs="宋体"/>
          <w:b/>
          <w:color w:val="auto"/>
          <w:sz w:val="24"/>
          <w:szCs w:val="24"/>
          <w:highlight w:val="none"/>
        </w:rPr>
        <w:t>存储、密封规定的备份响应文件将被视为无效或者被拒绝接收。</w:t>
      </w:r>
    </w:p>
    <w:p>
      <w:pPr>
        <w:pStyle w:val="34"/>
        <w:snapToGrid w:val="0"/>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15.3直接提交备份响应文件的，供应商应于响应文件提交（上传）截止时间前在竞争性磋商公告中载明的响应文件开启地点将备份响应文件提交给采购代理机构，采购代理机构将拒绝接受逾期送达的备份响应文件。</w:t>
      </w:r>
    </w:p>
    <w:p>
      <w:pPr>
        <w:pStyle w:val="34"/>
        <w:snapToGrid w:val="0"/>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15.4以邮政快递方式递交备份响应文件的，供应商应先将备份响应文件按要求密封和标记，再进行邮政快递包装后邮寄。备份响应文件须在响应文件提交（上传）截止时间之前送达</w:t>
      </w:r>
      <w:r>
        <w:rPr>
          <w:rFonts w:hint="eastAsia" w:hAnsi="宋体" w:cs="宋体"/>
          <w:snapToGrid/>
          <w:color w:val="auto"/>
          <w:sz w:val="24"/>
          <w:szCs w:val="24"/>
          <w:highlight w:val="none"/>
        </w:rPr>
        <w:t>采购文件第二部分供应商须知前附表规定的备份响应文件送达地点；</w:t>
      </w:r>
      <w:r>
        <w:rPr>
          <w:rFonts w:hint="eastAsia" w:hAnsi="宋体" w:cs="宋体"/>
          <w:color w:val="auto"/>
          <w:sz w:val="24"/>
          <w:szCs w:val="24"/>
          <w:highlight w:val="none"/>
        </w:rPr>
        <w:t>送达时间以签收人签收时间为准。采购代理机构将拒绝接受逾期送达的备份响应文件。邮寄过程中，电子备份响应文件发生泄露、遗失、损坏或延期送达等情况的，由供应商自行负责。</w:t>
      </w:r>
    </w:p>
    <w:p>
      <w:pPr>
        <w:pStyle w:val="34"/>
        <w:snapToGrid w:val="0"/>
        <w:spacing w:line="360" w:lineRule="auto"/>
        <w:ind w:firstLine="479" w:firstLineChars="199"/>
        <w:rPr>
          <w:rFonts w:hAnsi="宋体" w:cs="宋体"/>
          <w:b/>
          <w:color w:val="auto"/>
          <w:sz w:val="24"/>
          <w:szCs w:val="24"/>
          <w:highlight w:val="none"/>
        </w:rPr>
      </w:pPr>
      <w:r>
        <w:rPr>
          <w:rFonts w:hint="eastAsia" w:hAnsi="宋体" w:cs="宋体"/>
          <w:b/>
          <w:color w:val="auto"/>
          <w:sz w:val="24"/>
          <w:szCs w:val="24"/>
          <w:highlight w:val="none"/>
        </w:rPr>
        <w:t>15.5供应商仅提交备份响应文件，未在电子交易平台传输递交响应文件的，响应文件无效。</w:t>
      </w:r>
    </w:p>
    <w:p>
      <w:pPr>
        <w:pStyle w:val="131"/>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16.响应文件的无效处理</w:t>
      </w:r>
    </w:p>
    <w:p>
      <w:pPr>
        <w:pStyle w:val="26"/>
        <w:spacing w:line="360" w:lineRule="auto"/>
        <w:ind w:firstLine="360" w:firstLineChars="150"/>
        <w:rPr>
          <w:rFonts w:cs="宋体"/>
          <w:color w:val="auto"/>
          <w:szCs w:val="21"/>
          <w:highlight w:val="none"/>
        </w:rPr>
      </w:pPr>
      <w:r>
        <w:rPr>
          <w:rFonts w:hint="eastAsia" w:cs="宋体"/>
          <w:color w:val="auto"/>
          <w:szCs w:val="21"/>
          <w:highlight w:val="none"/>
        </w:rPr>
        <w:t>有采购文件第四部分</w:t>
      </w:r>
      <w:r>
        <w:rPr>
          <w:rFonts w:hint="eastAsia" w:cs="宋体"/>
          <w:color w:val="auto"/>
          <w:highlight w:val="none"/>
        </w:rPr>
        <w:t>4.2规定</w:t>
      </w:r>
      <w:r>
        <w:rPr>
          <w:rFonts w:hint="eastAsia" w:cs="宋体"/>
          <w:color w:val="auto"/>
          <w:szCs w:val="21"/>
          <w:highlight w:val="none"/>
        </w:rPr>
        <w:t>的情形之一的，响应文件无效：</w:t>
      </w:r>
    </w:p>
    <w:p>
      <w:pPr>
        <w:pStyle w:val="131"/>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17.响应文件有效期</w:t>
      </w:r>
    </w:p>
    <w:p>
      <w:pPr>
        <w:spacing w:line="360" w:lineRule="auto"/>
        <w:ind w:firstLine="480" w:firstLineChars="200"/>
        <w:rPr>
          <w:rFonts w:ascii="宋体" w:hAnsi="宋体" w:cs="宋体"/>
          <w:b/>
          <w:color w:val="auto"/>
          <w:sz w:val="24"/>
          <w:szCs w:val="21"/>
          <w:highlight w:val="none"/>
        </w:rPr>
      </w:pPr>
      <w:r>
        <w:rPr>
          <w:rFonts w:hint="eastAsia" w:ascii="宋体" w:hAnsi="宋体" w:cs="宋体"/>
          <w:color w:val="auto"/>
          <w:sz w:val="24"/>
          <w:szCs w:val="20"/>
          <w:highlight w:val="none"/>
        </w:rPr>
        <w:t>17.1响应文件有效期为从提交响应文件的截止之日起90天。▲</w:t>
      </w:r>
      <w:r>
        <w:rPr>
          <w:rFonts w:hint="eastAsia" w:ascii="宋体" w:hAnsi="宋体" w:cs="宋体"/>
          <w:b/>
          <w:color w:val="auto"/>
          <w:sz w:val="24"/>
          <w:szCs w:val="20"/>
          <w:highlight w:val="none"/>
        </w:rPr>
        <w:t>供应商的响应文件中承</w:t>
      </w:r>
      <w:r>
        <w:rPr>
          <w:rFonts w:hint="eastAsia" w:ascii="宋体" w:hAnsi="宋体" w:cs="宋体"/>
          <w:b/>
          <w:color w:val="auto"/>
          <w:sz w:val="24"/>
          <w:szCs w:val="21"/>
          <w:highlight w:val="none"/>
        </w:rPr>
        <w:t>诺的响应文件有效期少于采购文件中载明的响应文件有效期的，响应文件无效。</w:t>
      </w:r>
    </w:p>
    <w:p>
      <w:pPr>
        <w:pStyle w:val="131"/>
        <w:spacing w:before="0"/>
        <w:ind w:firstLine="480"/>
        <w:rPr>
          <w:rFonts w:ascii="宋体" w:hAnsi="宋体" w:cs="宋体"/>
          <w:color w:val="auto"/>
          <w:highlight w:val="none"/>
        </w:rPr>
      </w:pPr>
      <w:r>
        <w:rPr>
          <w:rFonts w:hint="eastAsia" w:ascii="宋体" w:hAnsi="宋体" w:cs="宋体"/>
          <w:color w:val="auto"/>
          <w:highlight w:val="none"/>
        </w:rPr>
        <w:t>17.2响应文件合格投递后，自响应文件提交截止时间起，在响应文件有效期内有效。</w:t>
      </w:r>
    </w:p>
    <w:p>
      <w:pPr>
        <w:pStyle w:val="131"/>
        <w:spacing w:before="0"/>
        <w:ind w:firstLine="480"/>
        <w:rPr>
          <w:rFonts w:ascii="宋体" w:hAnsi="宋体" w:cs="宋体"/>
          <w:color w:val="auto"/>
          <w:highlight w:val="none"/>
        </w:rPr>
      </w:pPr>
      <w:r>
        <w:rPr>
          <w:rFonts w:hint="eastAsia" w:ascii="宋体" w:hAnsi="宋体" w:cs="宋体"/>
          <w:color w:val="auto"/>
          <w:highlight w:val="none"/>
        </w:rPr>
        <w:t>17.3在原定响应文件有效期满之前，如果出现特殊情况，采购代理机构可以以书面形式通知供应商延长响应文件有效期。供应商同意延长的，不得要求或被允许修改其响应文件，供应商拒绝延长的，其响应文件无效。</w:t>
      </w:r>
    </w:p>
    <w:p>
      <w:pPr>
        <w:pStyle w:val="131"/>
        <w:spacing w:before="0"/>
        <w:ind w:firstLine="643"/>
        <w:rPr>
          <w:rFonts w:ascii="宋体" w:hAnsi="宋体" w:cs="宋体"/>
          <w:b/>
          <w:color w:val="auto"/>
          <w:sz w:val="32"/>
          <w:highlight w:val="none"/>
        </w:rPr>
      </w:pPr>
    </w:p>
    <w:p>
      <w:pPr>
        <w:snapToGrid w:val="0"/>
        <w:spacing w:line="360" w:lineRule="auto"/>
        <w:jc w:val="center"/>
        <w:outlineLvl w:val="0"/>
        <w:rPr>
          <w:rFonts w:ascii="宋体" w:hAnsi="宋体" w:cs="宋体"/>
          <w:b/>
          <w:color w:val="auto"/>
          <w:sz w:val="32"/>
          <w:szCs w:val="20"/>
          <w:highlight w:val="none"/>
        </w:rPr>
      </w:pPr>
      <w:r>
        <w:rPr>
          <w:rFonts w:hint="eastAsia" w:ascii="宋体" w:hAnsi="宋体" w:cs="宋体"/>
          <w:b/>
          <w:color w:val="auto"/>
          <w:sz w:val="32"/>
          <w:szCs w:val="20"/>
          <w:highlight w:val="none"/>
        </w:rPr>
        <w:t>四、响应文件开启、资格审查与信用信息查询</w:t>
      </w:r>
    </w:p>
    <w:p>
      <w:pPr>
        <w:pStyle w:val="557"/>
        <w:spacing w:before="0" w:line="360" w:lineRule="auto"/>
        <w:ind w:left="0" w:firstLine="0"/>
        <w:contextualSpacing/>
        <w:rPr>
          <w:rFonts w:ascii="宋体" w:hAnsi="宋体" w:cs="宋体"/>
          <w:color w:val="auto"/>
          <w:sz w:val="24"/>
          <w:highlight w:val="none"/>
        </w:rPr>
      </w:pPr>
      <w:r>
        <w:rPr>
          <w:rFonts w:hint="eastAsia" w:ascii="宋体" w:hAnsi="宋体" w:cs="宋体"/>
          <w:b/>
          <w:color w:val="auto"/>
          <w:sz w:val="24"/>
          <w:szCs w:val="24"/>
          <w:highlight w:val="none"/>
        </w:rPr>
        <w:t>18.响应文件开启</w:t>
      </w:r>
      <w:r>
        <w:rPr>
          <w:rFonts w:hint="eastAsia" w:ascii="宋体" w:hAnsi="宋体" w:cs="宋体"/>
          <w:color w:val="auto"/>
          <w:sz w:val="24"/>
          <w:highlight w:val="none"/>
        </w:rPr>
        <w:t xml:space="preserve"> </w:t>
      </w:r>
    </w:p>
    <w:p>
      <w:pPr>
        <w:pStyle w:val="557"/>
        <w:snapToGrid w:val="0"/>
        <w:spacing w:before="0" w:line="360" w:lineRule="auto"/>
        <w:ind w:left="0" w:firstLine="480" w:firstLineChars="200"/>
        <w:contextualSpacing/>
        <w:rPr>
          <w:rFonts w:ascii="宋体" w:hAnsi="宋体" w:cs="宋体"/>
          <w:color w:val="auto"/>
          <w:sz w:val="24"/>
          <w:highlight w:val="none"/>
        </w:rPr>
      </w:pPr>
      <w:r>
        <w:rPr>
          <w:rFonts w:hint="eastAsia" w:ascii="宋体" w:hAnsi="宋体" w:cs="宋体"/>
          <w:color w:val="auto"/>
          <w:sz w:val="24"/>
          <w:highlight w:val="none"/>
        </w:rPr>
        <w:t>18.1采购代理机构按照采购文件规定的时间通过电子交易平台组织响应文件开启，所有供应商均应当准时在线参加。供应商不足3家的，不得开启。</w:t>
      </w:r>
    </w:p>
    <w:p>
      <w:pPr>
        <w:pStyle w:val="557"/>
        <w:snapToGrid w:val="0"/>
        <w:spacing w:before="0" w:line="360" w:lineRule="auto"/>
        <w:ind w:left="0" w:firstLine="480" w:firstLineChars="200"/>
        <w:contextualSpacing/>
        <w:rPr>
          <w:rFonts w:ascii="宋体" w:hAnsi="宋体" w:cs="宋体"/>
          <w:color w:val="auto"/>
          <w:sz w:val="24"/>
          <w:highlight w:val="none"/>
        </w:rPr>
      </w:pPr>
      <w:r>
        <w:rPr>
          <w:rFonts w:hint="eastAsia" w:ascii="宋体" w:hAnsi="宋体" w:cs="宋体"/>
          <w:color w:val="auto"/>
          <w:sz w:val="24"/>
          <w:highlight w:val="none"/>
        </w:rPr>
        <w:t>18.2响应文件开启时，电子交易平台按响应文件开启时间自动提取所有响应文件。采购代理机构依托电子交易平台发起开始解密指令，供应商按照平台提示和采购文件的规定在半小时内完成在线解密。</w:t>
      </w:r>
    </w:p>
    <w:p>
      <w:pPr>
        <w:pStyle w:val="557"/>
        <w:snapToGrid w:val="0"/>
        <w:spacing w:before="0" w:line="360" w:lineRule="auto"/>
        <w:ind w:left="0" w:firstLine="480" w:firstLineChars="200"/>
        <w:contextualSpacing/>
        <w:rPr>
          <w:rFonts w:ascii="宋体" w:hAnsi="宋体" w:cs="宋体"/>
          <w:color w:val="auto"/>
          <w:sz w:val="24"/>
          <w:highlight w:val="none"/>
        </w:rPr>
      </w:pPr>
      <w:r>
        <w:rPr>
          <w:rFonts w:hint="eastAsia" w:ascii="宋体" w:hAnsi="宋体" w:cs="宋体"/>
          <w:color w:val="auto"/>
          <w:sz w:val="24"/>
          <w:highlight w:val="none"/>
        </w:rPr>
        <w:t>18.3</w:t>
      </w:r>
      <w:r>
        <w:rPr>
          <w:rFonts w:hint="eastAsia" w:ascii="宋体" w:hAnsi="宋体" w:cs="宋体"/>
          <w:b/>
          <w:bCs/>
          <w:color w:val="auto"/>
          <w:sz w:val="24"/>
          <w:highlight w:val="none"/>
        </w:rPr>
        <w:t>响应文件未按时解密，供应商提供了备份响应文件的，以备份响应文件作为依据，否则视为响应文件撤回。响应文件已按时解密的，备份响应文件自动失效。</w:t>
      </w:r>
    </w:p>
    <w:p>
      <w:pPr>
        <w:pStyle w:val="557"/>
        <w:spacing w:before="0" w:line="360" w:lineRule="auto"/>
        <w:ind w:left="0" w:firstLine="0"/>
        <w:contextualSpacing/>
        <w:rPr>
          <w:rFonts w:ascii="宋体" w:hAnsi="宋体" w:cs="宋体"/>
          <w:b/>
          <w:color w:val="auto"/>
          <w:sz w:val="24"/>
          <w:szCs w:val="24"/>
          <w:highlight w:val="none"/>
        </w:rPr>
      </w:pPr>
      <w:r>
        <w:rPr>
          <w:rFonts w:hint="eastAsia" w:ascii="宋体" w:hAnsi="宋体" w:cs="宋体"/>
          <w:b/>
          <w:color w:val="auto"/>
          <w:sz w:val="24"/>
          <w:szCs w:val="24"/>
          <w:highlight w:val="none"/>
        </w:rPr>
        <w:t>19、资格审查</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t>19.1</w:t>
      </w:r>
      <w:r>
        <w:rPr>
          <w:rFonts w:hint="eastAsia" w:ascii="宋体" w:hAnsi="宋体" w:cs="宋体"/>
          <w:color w:val="auto"/>
          <w:sz w:val="24"/>
          <w:highlight w:val="none"/>
        </w:rPr>
        <w:t>采购人、采购代理机构或磋商小组依据法律法规和采购文件的规定，对供应商的资格进行审查。</w:t>
      </w:r>
    </w:p>
    <w:p>
      <w:pPr>
        <w:pStyle w:val="131"/>
        <w:spacing w:before="0"/>
        <w:ind w:firstLine="480"/>
        <w:rPr>
          <w:rFonts w:ascii="宋体" w:hAnsi="宋体" w:cs="宋体"/>
          <w:color w:val="auto"/>
          <w:highlight w:val="none"/>
        </w:rPr>
      </w:pPr>
      <w:r>
        <w:rPr>
          <w:rFonts w:hint="eastAsia" w:ascii="宋体" w:hAnsi="宋体" w:cs="宋体"/>
          <w:color w:val="auto"/>
          <w:kern w:val="0"/>
          <w:szCs w:val="24"/>
          <w:highlight w:val="none"/>
        </w:rPr>
        <w:t>19.2供应商未按照采购文件要求提供与</w:t>
      </w:r>
      <w:r>
        <w:rPr>
          <w:rFonts w:hint="eastAsia" w:ascii="宋体" w:hAnsi="宋体" w:cs="宋体"/>
          <w:color w:val="auto"/>
          <w:highlight w:val="none"/>
        </w:rPr>
        <w:t>资格条件相应的</w:t>
      </w:r>
      <w:r>
        <w:rPr>
          <w:rFonts w:hint="eastAsia" w:ascii="宋体" w:hAnsi="宋体" w:cs="宋体"/>
          <w:color w:val="auto"/>
          <w:kern w:val="0"/>
          <w:szCs w:val="24"/>
          <w:highlight w:val="none"/>
        </w:rPr>
        <w:t>有效资格证明材料的，视为</w:t>
      </w:r>
      <w:r>
        <w:rPr>
          <w:rFonts w:hint="eastAsia" w:ascii="宋体" w:hAnsi="宋体" w:cs="宋体"/>
          <w:color w:val="auto"/>
          <w:highlight w:val="none"/>
        </w:rPr>
        <w:t>供应商不具备采购文件中规定的资格要求，其响应文件无效。</w:t>
      </w:r>
    </w:p>
    <w:p>
      <w:pPr>
        <w:pStyle w:val="131"/>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rPr>
        <w:t>3对未通过资格审查的供应商，采购人或采购代理机构告知其未通过的原因。</w:t>
      </w:r>
    </w:p>
    <w:p>
      <w:pPr>
        <w:pStyle w:val="131"/>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rPr>
        <w:t>4合格供应商不足3家的，不再评审。</w:t>
      </w:r>
    </w:p>
    <w:p>
      <w:pPr>
        <w:pStyle w:val="131"/>
        <w:snapToGrid w:val="0"/>
        <w:spacing w:before="0"/>
        <w:ind w:firstLine="480"/>
        <w:rPr>
          <w:rFonts w:ascii="宋体" w:hAnsi="宋体" w:cs="宋体"/>
          <w:color w:val="auto"/>
          <w:highlight w:val="none"/>
        </w:rPr>
      </w:pPr>
      <w:r>
        <w:rPr>
          <w:rFonts w:hint="eastAsia" w:ascii="宋体" w:hAnsi="宋体" w:cs="宋体"/>
          <w:color w:val="auto"/>
          <w:kern w:val="0"/>
          <w:szCs w:val="24"/>
          <w:highlight w:val="none"/>
        </w:rPr>
        <w:t>19.5金融、保险、通讯等特定行业的全国性企业所设立的区域性分支机构，以及个体工商户、个人独资企业、合伙企业，如果已经依法办理了工商、税务和社保登记手续，并且获得总机构授权或能够提供房产权证或其他有效财产证明材料，证明其具备实际承担责任的能力和法定的缔结合同能力，可以允许其独立参加政府采购活动。</w:t>
      </w:r>
    </w:p>
    <w:p>
      <w:pPr>
        <w:pStyle w:val="131"/>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20、信用信息查询</w:t>
      </w:r>
    </w:p>
    <w:p>
      <w:pPr>
        <w:pStyle w:val="131"/>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20.1信用信息查询渠道及截止时间：采购代理机构将在资格审查时通过“信用中国”网站(www.creditchina.gov.cn)、中国政府采购网(www.ccgp.gov.cn)渠道查询供应商接受资格审查时的信用记录。</w:t>
      </w:r>
    </w:p>
    <w:p>
      <w:pPr>
        <w:pStyle w:val="131"/>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20.2信用信息查询记录和证据留存的具体方式：现场查询的供应商的信用记录、查询结果经确认后将与采购文件一起存档。</w:t>
      </w:r>
    </w:p>
    <w:p>
      <w:pPr>
        <w:pStyle w:val="131"/>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20.3信用信息的使用规则：经查询列入失信被执行人名单、重大税收违法案件当事人名单、政府采购严重违法失信行为记录名单的供应商将被拒绝参与政府采购活动。</w:t>
      </w:r>
    </w:p>
    <w:p>
      <w:pPr>
        <w:pStyle w:val="131"/>
        <w:spacing w:before="0"/>
        <w:ind w:firstLine="480"/>
        <w:rPr>
          <w:rFonts w:ascii="宋体" w:hAnsi="宋体" w:cs="宋体"/>
          <w:color w:val="auto"/>
          <w:highlight w:val="none"/>
        </w:rPr>
      </w:pPr>
      <w:r>
        <w:rPr>
          <w:rFonts w:hint="eastAsia" w:ascii="宋体" w:hAnsi="宋体" w:cs="宋体"/>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auto"/>
          <w:highlight w:val="none"/>
        </w:rPr>
        <w:t>。</w:t>
      </w:r>
    </w:p>
    <w:p>
      <w:pPr>
        <w:pStyle w:val="131"/>
        <w:spacing w:before="0"/>
        <w:ind w:firstLine="0" w:firstLineChars="0"/>
        <w:rPr>
          <w:rFonts w:ascii="宋体" w:hAnsi="宋体" w:cs="宋体"/>
          <w:color w:val="auto"/>
          <w:kern w:val="0"/>
          <w:szCs w:val="24"/>
          <w:highlight w:val="none"/>
        </w:rPr>
      </w:pPr>
    </w:p>
    <w:p>
      <w:pPr>
        <w:snapToGrid w:val="0"/>
        <w:spacing w:line="360" w:lineRule="auto"/>
        <w:jc w:val="center"/>
        <w:outlineLvl w:val="0"/>
        <w:rPr>
          <w:rFonts w:ascii="宋体" w:hAnsi="宋体" w:cs="宋体"/>
          <w:b/>
          <w:color w:val="auto"/>
          <w:sz w:val="32"/>
          <w:szCs w:val="20"/>
          <w:highlight w:val="none"/>
        </w:rPr>
      </w:pPr>
      <w:r>
        <w:rPr>
          <w:rFonts w:hint="eastAsia" w:ascii="宋体" w:hAnsi="宋体" w:cs="宋体"/>
          <w:b/>
          <w:color w:val="auto"/>
          <w:sz w:val="32"/>
          <w:szCs w:val="20"/>
          <w:highlight w:val="none"/>
        </w:rPr>
        <w:t>五、评审</w:t>
      </w:r>
    </w:p>
    <w:p>
      <w:pPr>
        <w:spacing w:line="360" w:lineRule="auto"/>
        <w:rPr>
          <w:rFonts w:ascii="宋体" w:hAnsi="宋体" w:cs="宋体"/>
          <w:b/>
          <w:color w:val="auto"/>
          <w:sz w:val="24"/>
          <w:highlight w:val="none"/>
        </w:rPr>
      </w:pPr>
      <w:bookmarkStart w:id="19" w:name="_Toc91899903"/>
      <w:r>
        <w:rPr>
          <w:rFonts w:hint="eastAsia" w:ascii="宋体" w:hAnsi="宋体" w:cs="宋体"/>
          <w:b/>
          <w:color w:val="auto"/>
          <w:sz w:val="24"/>
          <w:highlight w:val="none"/>
        </w:rPr>
        <w:t>21.</w:t>
      </w:r>
      <w:r>
        <w:rPr>
          <w:rFonts w:hint="eastAsia" w:ascii="宋体" w:hAnsi="宋体" w:cs="宋体"/>
          <w:color w:val="auto"/>
          <w:highlight w:val="none"/>
        </w:rPr>
        <w:t xml:space="preserve"> </w:t>
      </w:r>
      <w:r>
        <w:rPr>
          <w:rFonts w:hint="eastAsia" w:ascii="宋体" w:hAnsi="宋体" w:cs="宋体"/>
          <w:color w:val="auto"/>
          <w:sz w:val="24"/>
          <w:highlight w:val="none"/>
        </w:rPr>
        <w:t>磋商小组将根据采购文件和有关规定，履行评审工作职责，并按照评审方法及评分标准，全面衡量各供应商对采购文件的响应情况。对实质上响应采购文件的供应商，按照评审因素的量化指标排出推荐成交的供应商的先后顺序，并按顺序提出授标建议。</w:t>
      </w:r>
      <w:r>
        <w:rPr>
          <w:rFonts w:hint="eastAsia" w:ascii="宋体" w:hAnsi="宋体" w:cs="宋体"/>
          <w:b/>
          <w:color w:val="auto"/>
          <w:sz w:val="24"/>
          <w:highlight w:val="none"/>
        </w:rPr>
        <w:t>详见采购文件第四部分评审办法。</w:t>
      </w:r>
    </w:p>
    <w:p>
      <w:pPr>
        <w:spacing w:line="360" w:lineRule="auto"/>
        <w:rPr>
          <w:rFonts w:ascii="宋体" w:hAnsi="宋体" w:cs="宋体"/>
          <w:b/>
          <w:color w:val="auto"/>
          <w:sz w:val="24"/>
          <w:highlight w:val="none"/>
        </w:rPr>
      </w:pPr>
    </w:p>
    <w:p>
      <w:pPr>
        <w:snapToGrid w:val="0"/>
        <w:spacing w:line="360" w:lineRule="auto"/>
        <w:jc w:val="center"/>
        <w:outlineLvl w:val="0"/>
        <w:rPr>
          <w:rFonts w:ascii="宋体" w:hAnsi="宋体" w:cs="宋体"/>
          <w:b/>
          <w:color w:val="auto"/>
          <w:sz w:val="32"/>
          <w:szCs w:val="20"/>
          <w:highlight w:val="none"/>
        </w:rPr>
      </w:pPr>
      <w:r>
        <w:rPr>
          <w:rFonts w:hint="eastAsia" w:ascii="宋体" w:hAnsi="宋体" w:cs="宋体"/>
          <w:b/>
          <w:color w:val="auto"/>
          <w:sz w:val="32"/>
          <w:szCs w:val="20"/>
          <w:highlight w:val="none"/>
        </w:rPr>
        <w:t>六、成交供应商确定</w:t>
      </w:r>
    </w:p>
    <w:p>
      <w:pPr>
        <w:pStyle w:val="26"/>
        <w:spacing w:line="360" w:lineRule="auto"/>
        <w:ind w:left="479" w:hanging="479" w:hangingChars="199"/>
        <w:rPr>
          <w:rFonts w:cs="宋体"/>
          <w:b/>
          <w:color w:val="auto"/>
          <w:highlight w:val="none"/>
        </w:rPr>
      </w:pPr>
      <w:r>
        <w:rPr>
          <w:rFonts w:hint="eastAsia" w:cs="宋体"/>
          <w:b/>
          <w:color w:val="auto"/>
          <w:highlight w:val="none"/>
        </w:rPr>
        <w:t>22. 确定成交供应商</w:t>
      </w:r>
    </w:p>
    <w:p>
      <w:pPr>
        <w:pStyle w:val="131"/>
        <w:snapToGrid w:val="0"/>
        <w:spacing w:before="0"/>
        <w:ind w:firstLine="480"/>
        <w:rPr>
          <w:rFonts w:ascii="宋体" w:hAnsi="宋体" w:cs="宋体"/>
          <w:b/>
          <w:color w:val="auto"/>
          <w:szCs w:val="24"/>
          <w:highlight w:val="none"/>
        </w:rPr>
      </w:pPr>
      <w:r>
        <w:rPr>
          <w:rFonts w:hint="eastAsia" w:ascii="宋体" w:hAnsi="宋体" w:cs="宋体"/>
          <w:color w:val="auto"/>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w:t>
      </w:r>
      <w:r>
        <w:rPr>
          <w:rFonts w:hint="eastAsia" w:ascii="宋体" w:hAnsi="宋体" w:cs="宋体"/>
          <w:color w:val="auto"/>
          <w:szCs w:val="24"/>
          <w:highlight w:val="none"/>
        </w:rPr>
        <w:t>，为提高政府采购效率，鼓励在收到评审报告当天在线确定中标或者成交供应商</w:t>
      </w:r>
      <w:r>
        <w:rPr>
          <w:rFonts w:hint="eastAsia" w:ascii="宋体" w:hAnsi="宋体" w:cs="宋体"/>
          <w:color w:val="auto"/>
          <w:szCs w:val="24"/>
          <w:highlight w:val="none"/>
        </w:rPr>
        <w:t>。中标、成交通知书和中标、成交结果公告应当在规定时间内同时发出。</w:t>
      </w:r>
    </w:p>
    <w:p>
      <w:pPr>
        <w:pStyle w:val="131"/>
        <w:snapToGrid w:val="0"/>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23. 成交通知与成交结果公告</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23.1自成交供应商确定之日起1个工作日内，采购代理机构通过电子交易平台向成交供应商发出成交通知书，同时编制发布采购结果公告。采购代理机构也可以以纸质形式进行成交通知。</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23.2成交结果公告内容包括采购人及其委托的采购代理机构的名称、地址、联系方式，项目名称和项目编号，成交供应商名称、地址和成交金额，主要成交标的的名称、规格型号、数量、单价、服务要求，开标记录、资格审查情况、评审专家抽取规则、符合性审查情况、未成交情况说明、成交结果公告期限以及评审专家名单、评分汇总及明细。</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23.3公告期限为1个工作日。</w:t>
      </w:r>
    </w:p>
    <w:p>
      <w:pPr>
        <w:widowControl/>
        <w:shd w:val="clear" w:color="auto" w:fill="FFFFFF"/>
        <w:spacing w:line="360" w:lineRule="auto"/>
        <w:ind w:firstLine="480"/>
        <w:rPr>
          <w:rFonts w:ascii="宋体" w:hAnsi="宋体" w:cs="宋体"/>
          <w:color w:val="auto"/>
          <w:sz w:val="24"/>
          <w:highlight w:val="none"/>
        </w:rPr>
      </w:pPr>
      <w:r>
        <w:rPr>
          <w:rFonts w:hint="eastAsia" w:ascii="宋体" w:hAnsi="宋体" w:cs="宋体"/>
          <w:bCs/>
          <w:color w:val="auto"/>
          <w:sz w:val="24"/>
          <w:highlight w:val="none"/>
        </w:rPr>
        <w:t>23.4由于成交供应商原因导致重新采购的，应当承担支付代理费和专家评审费等费用在内的赔偿责任。</w:t>
      </w:r>
    </w:p>
    <w:p>
      <w:pPr>
        <w:snapToGrid w:val="0"/>
        <w:spacing w:line="360" w:lineRule="auto"/>
        <w:ind w:left="120" w:leftChars="57" w:firstLine="482" w:firstLineChars="150"/>
        <w:jc w:val="center"/>
        <w:rPr>
          <w:rFonts w:ascii="宋体" w:hAnsi="宋体" w:cs="宋体"/>
          <w:b/>
          <w:color w:val="auto"/>
          <w:sz w:val="32"/>
          <w:highlight w:val="none"/>
        </w:rPr>
      </w:pPr>
    </w:p>
    <w:p>
      <w:pPr>
        <w:snapToGrid w:val="0"/>
        <w:spacing w:line="360" w:lineRule="auto"/>
        <w:jc w:val="center"/>
        <w:outlineLvl w:val="0"/>
        <w:rPr>
          <w:rFonts w:ascii="宋体" w:hAnsi="宋体" w:cs="宋体"/>
          <w:b/>
          <w:color w:val="auto"/>
          <w:sz w:val="32"/>
          <w:szCs w:val="20"/>
          <w:highlight w:val="none"/>
        </w:rPr>
      </w:pPr>
      <w:r>
        <w:rPr>
          <w:rFonts w:hint="eastAsia" w:ascii="宋体" w:hAnsi="宋体" w:cs="宋体"/>
          <w:b/>
          <w:color w:val="auto"/>
          <w:sz w:val="32"/>
          <w:szCs w:val="20"/>
          <w:highlight w:val="none"/>
        </w:rPr>
        <w:t>七、合同授予</w:t>
      </w:r>
    </w:p>
    <w:p>
      <w:pPr>
        <w:pStyle w:val="26"/>
        <w:snapToGrid w:val="0"/>
        <w:spacing w:line="360" w:lineRule="auto"/>
        <w:ind w:left="479" w:hanging="479" w:hangingChars="199"/>
        <w:rPr>
          <w:rFonts w:cs="宋体"/>
          <w:b/>
          <w:color w:val="auto"/>
          <w:highlight w:val="none"/>
        </w:rPr>
      </w:pPr>
      <w:r>
        <w:rPr>
          <w:rFonts w:hint="eastAsia" w:cs="宋体"/>
          <w:b/>
          <w:color w:val="auto"/>
          <w:highlight w:val="none"/>
        </w:rPr>
        <w:t xml:space="preserve">24. </w:t>
      </w:r>
      <w:r>
        <w:rPr>
          <w:rFonts w:hint="eastAsia" w:cs="宋体"/>
          <w:color w:val="auto"/>
          <w:highlight w:val="none"/>
        </w:rPr>
        <w:t>合同主要条款详见第五部分拟签订的合同文本。</w:t>
      </w:r>
    </w:p>
    <w:p>
      <w:pPr>
        <w:pStyle w:val="26"/>
        <w:snapToGrid w:val="0"/>
        <w:spacing w:line="360" w:lineRule="auto"/>
        <w:ind w:left="479" w:hanging="479" w:hangingChars="199"/>
        <w:rPr>
          <w:rFonts w:cs="宋体"/>
          <w:b/>
          <w:color w:val="auto"/>
          <w:highlight w:val="none"/>
        </w:rPr>
      </w:pPr>
      <w:r>
        <w:rPr>
          <w:rFonts w:hint="eastAsia" w:cs="宋体"/>
          <w:b/>
          <w:color w:val="auto"/>
          <w:highlight w:val="none"/>
        </w:rPr>
        <w:t>25. 合同的签订</w:t>
      </w:r>
    </w:p>
    <w:p>
      <w:pPr>
        <w:widowControl/>
        <w:shd w:val="clear" w:color="auto" w:fill="FFFFFF"/>
        <w:snapToGrid w:val="0"/>
        <w:spacing w:line="360" w:lineRule="auto"/>
        <w:ind w:firstLine="480"/>
        <w:jc w:val="left"/>
        <w:rPr>
          <w:rFonts w:ascii="宋体" w:hAnsi="宋体" w:cs="宋体"/>
          <w:color w:val="auto"/>
          <w:kern w:val="0"/>
          <w:sz w:val="24"/>
          <w:highlight w:val="none"/>
        </w:rPr>
      </w:pPr>
      <w:r>
        <w:rPr>
          <w:rFonts w:hint="eastAsia" w:ascii="宋体" w:hAnsi="宋体" w:cs="宋体"/>
          <w:color w:val="auto"/>
          <w:sz w:val="24"/>
          <w:highlight w:val="none"/>
        </w:rPr>
        <w:t>25.1</w:t>
      </w:r>
      <w:r>
        <w:rPr>
          <w:rFonts w:hint="eastAsia" w:ascii="宋体" w:hAnsi="宋体" w:cs="宋体"/>
          <w:color w:val="auto"/>
          <w:kern w:val="0"/>
          <w:sz w:val="24"/>
          <w:highlight w:val="none"/>
        </w:rPr>
        <w:t xml:space="preserve"> 采购人与成交供应商应当通过电子交易平台在成交通知书发出之日起三十日内，按照采购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成交通知书发出之日起10个工作日内，与成交供应商按照采购文件确定的事项签订政府采购合同。</w:t>
      </w:r>
    </w:p>
    <w:p>
      <w:pPr>
        <w:pStyle w:val="131"/>
        <w:snapToGrid w:val="0"/>
        <w:spacing w:before="0"/>
        <w:ind w:firstLine="480"/>
        <w:rPr>
          <w:rFonts w:ascii="宋体" w:hAnsi="宋体" w:cs="宋体"/>
          <w:color w:val="auto"/>
          <w:kern w:val="0"/>
          <w:highlight w:val="none"/>
        </w:rPr>
      </w:pPr>
      <w:r>
        <w:rPr>
          <w:rFonts w:hint="eastAsia" w:ascii="宋体" w:hAnsi="宋体" w:cs="宋体"/>
          <w:color w:val="auto"/>
          <w:kern w:val="0"/>
          <w:highlight w:val="none"/>
          <w:lang w:val="zh-CN"/>
        </w:rPr>
        <w:t>25.2成交供应商按规定的日期、时间、地点，由法定代表人或其授权代表与采购人代表签订合同。如成交供应商为联合体的，由联合体成员各方法定代表人或其授权代表与采购人代表签订合同。</w:t>
      </w:r>
    </w:p>
    <w:p>
      <w:pPr>
        <w:pStyle w:val="131"/>
        <w:snapToGrid w:val="0"/>
        <w:spacing w:before="0"/>
        <w:ind w:firstLine="480"/>
        <w:rPr>
          <w:rFonts w:ascii="宋体" w:hAnsi="宋体" w:cs="宋体"/>
          <w:color w:val="auto"/>
          <w:highlight w:val="none"/>
        </w:rPr>
      </w:pPr>
      <w:r>
        <w:rPr>
          <w:rFonts w:hint="eastAsia" w:ascii="宋体" w:hAnsi="宋体" w:cs="宋体"/>
          <w:color w:val="auto"/>
          <w:highlight w:val="none"/>
        </w:rPr>
        <w:t>25.3如签订合同并生效后，供应商无故拒绝或延期，除按照合同条款处理外，列入不良行为记录一次，并给予通报。</w:t>
      </w:r>
    </w:p>
    <w:p>
      <w:pPr>
        <w:pStyle w:val="131"/>
        <w:snapToGrid w:val="0"/>
        <w:spacing w:before="0"/>
        <w:ind w:firstLine="480"/>
        <w:rPr>
          <w:rFonts w:ascii="宋体" w:hAnsi="宋体" w:cs="宋体"/>
          <w:color w:val="auto"/>
          <w:highlight w:val="none"/>
        </w:rPr>
      </w:pPr>
      <w:r>
        <w:rPr>
          <w:rFonts w:hint="eastAsia" w:ascii="宋体" w:hAnsi="宋体" w:cs="宋体"/>
          <w:color w:val="auto"/>
          <w:highlight w:val="none"/>
        </w:rPr>
        <w:t>25.4成交供应商拒绝与采购人签订合同的，采购人可以按照评审报告推荐的成交候选人名单排序，确定下一候选人为成交供应商，也可以重新开展政府采购活动。拒绝与采购人签订合同的成交供应商应承担采购代理服务费、评审专家劳务报酬等相关费用。</w:t>
      </w:r>
    </w:p>
    <w:p>
      <w:pPr>
        <w:pStyle w:val="131"/>
        <w:snapToGrid w:val="0"/>
        <w:spacing w:before="0"/>
        <w:ind w:firstLine="480"/>
        <w:rPr>
          <w:rFonts w:ascii="宋体" w:hAnsi="宋体" w:cs="宋体"/>
          <w:color w:val="auto"/>
          <w:highlight w:val="none"/>
        </w:rPr>
      </w:pPr>
      <w:r>
        <w:rPr>
          <w:rFonts w:hint="eastAsia" w:ascii="宋体" w:hAnsi="宋体" w:cs="宋体"/>
          <w:color w:val="auto"/>
          <w:highlight w:val="none"/>
        </w:rPr>
        <w:t>25.5采购合同由采购人与成交供应商根据采购文件、响应文件等内容通过政府采购电子交易平台在线签订，自动备案。</w:t>
      </w:r>
    </w:p>
    <w:p>
      <w:pPr>
        <w:pStyle w:val="26"/>
        <w:snapToGrid w:val="0"/>
        <w:spacing w:line="360" w:lineRule="auto"/>
        <w:ind w:left="479" w:hanging="479" w:hangingChars="199"/>
        <w:rPr>
          <w:rFonts w:cs="宋体"/>
          <w:b/>
          <w:color w:val="auto"/>
          <w:highlight w:val="none"/>
        </w:rPr>
      </w:pPr>
      <w:r>
        <w:rPr>
          <w:rFonts w:hint="eastAsia" w:cs="宋体"/>
          <w:b/>
          <w:color w:val="auto"/>
          <w:highlight w:val="none"/>
        </w:rPr>
        <w:t>26. 履约保证金</w:t>
      </w:r>
    </w:p>
    <w:p>
      <w:pPr>
        <w:tabs>
          <w:tab w:val="left" w:pos="0"/>
        </w:tabs>
        <w:snapToGrid w:val="0"/>
        <w:spacing w:line="360" w:lineRule="auto"/>
        <w:ind w:firstLine="482"/>
        <w:rPr>
          <w:rFonts w:ascii="宋体" w:hAnsi="宋体" w:cs="宋体"/>
          <w:color w:val="auto"/>
          <w:sz w:val="24"/>
          <w:highlight w:val="none"/>
        </w:rPr>
      </w:pPr>
      <w:r>
        <w:rPr>
          <w:rFonts w:hint="eastAsia" w:ascii="宋体" w:hAnsi="宋体" w:cs="宋体"/>
          <w:color w:val="auto"/>
          <w:kern w:val="0"/>
          <w:sz w:val="24"/>
          <w:highlight w:val="none"/>
        </w:rPr>
        <w:t>拟签订的合同文本要求成交供应商提交履约保证金的，供应商应当以支票、汇票、本票或者金融机构、担保机构出具的保函等非现金形式提交</w:t>
      </w:r>
      <w:r>
        <w:rPr>
          <w:rFonts w:hint="eastAsia" w:ascii="宋体" w:hAnsi="宋体" w:cs="宋体"/>
          <w:color w:val="auto"/>
          <w:sz w:val="24"/>
          <w:highlight w:val="none"/>
        </w:rPr>
        <w:t>。杭州市政府采购网公布的供应商履约评价为满分的供应商，采购单位应当免收履约保证金。确需收取履约保证金的，履约保证金缴纳最高比例由不超过合同金额的</w:t>
      </w:r>
      <w:r>
        <w:rPr>
          <w:rFonts w:ascii="宋体" w:hAnsi="宋体" w:cs="宋体"/>
          <w:color w:val="auto"/>
          <w:sz w:val="24"/>
          <w:highlight w:val="none"/>
        </w:rPr>
        <w:t>1%</w:t>
      </w:r>
      <w:r>
        <w:rPr>
          <w:rFonts w:hint="eastAsia" w:ascii="宋体" w:hAnsi="宋体" w:cs="宋体"/>
          <w:color w:val="auto"/>
          <w:sz w:val="24"/>
          <w:highlight w:val="none"/>
        </w:rPr>
        <w:t>，鼓励根据项目特点、供应商诚信等因素免收履约保证金或降低缴纳比例。采购单位鼓励供应商采取履约保函形式提供信用保证；供应商提供保函的，采购单位不得拒收。项目验收结束后应及时退还，</w:t>
      </w:r>
      <w:r>
        <w:rPr>
          <w:rFonts w:ascii="宋体" w:hAnsi="宋体" w:cs="宋体"/>
          <w:color w:val="auto"/>
          <w:sz w:val="24"/>
          <w:highlight w:val="none"/>
        </w:rPr>
        <w:t>延迟退还的，应当按照合同约定和法律规定承担相应的赔偿责任</w:t>
      </w:r>
      <w:r>
        <w:rPr>
          <w:rFonts w:hint="eastAsia" w:ascii="宋体" w:hAnsi="宋体" w:cs="宋体"/>
          <w:color w:val="auto"/>
          <w:sz w:val="24"/>
          <w:highlight w:val="none"/>
        </w:rPr>
        <w:t>。</w:t>
      </w:r>
    </w:p>
    <w:p>
      <w:pPr>
        <w:pStyle w:val="3"/>
        <w:snapToGrid w:val="0"/>
        <w:ind w:left="0" w:firstLine="480" w:firstLineChars="200"/>
        <w:rPr>
          <w:rFonts w:ascii="宋体" w:hAnsi="宋体" w:eastAsia="宋体" w:cs="宋体"/>
          <w:b w:val="0"/>
          <w:bCs w:val="0"/>
          <w:snapToGrid w:val="0"/>
          <w:color w:val="auto"/>
          <w:kern w:val="28"/>
          <w:sz w:val="24"/>
          <w:highlight w:val="none"/>
        </w:rPr>
      </w:pPr>
      <w:r>
        <w:rPr>
          <w:rFonts w:hint="eastAsia" w:ascii="宋体" w:hAnsi="宋体" w:eastAsia="宋体" w:cs="宋体"/>
          <w:b w:val="0"/>
          <w:bCs w:val="0"/>
          <w:snapToGrid w:val="0"/>
          <w:color w:val="auto"/>
          <w:kern w:val="28"/>
          <w:sz w:val="24"/>
          <w:highlight w:val="none"/>
        </w:rPr>
        <w:t>供应商</w:t>
      </w:r>
      <w:r>
        <w:rPr>
          <w:rFonts w:hint="eastAsia" w:ascii="宋体" w:hAnsi="宋体" w:eastAsia="宋体" w:cs="宋体"/>
          <w:b w:val="0"/>
          <w:bCs w:val="0"/>
          <w:snapToGrid w:val="0"/>
          <w:color w:val="auto"/>
          <w:kern w:val="28"/>
          <w:sz w:val="24"/>
          <w:highlight w:val="none"/>
          <w:lang w:val="en-US"/>
        </w:rPr>
        <w:t>可</w:t>
      </w:r>
      <w:r>
        <w:rPr>
          <w:rFonts w:hint="eastAsia" w:ascii="宋体" w:hAnsi="宋体" w:eastAsia="宋体" w:cs="宋体"/>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3"/>
        <w:rPr>
          <w:color w:val="auto"/>
          <w:highlight w:val="none"/>
        </w:rPr>
      </w:pPr>
      <w:r>
        <w:rPr>
          <w:rFonts w:ascii="宋体" w:hAnsi="宋体" w:eastAsia="宋体"/>
          <w:color w:val="auto"/>
          <w:sz w:val="24"/>
          <w:highlight w:val="none"/>
          <w:lang w:val="en-US"/>
        </w:rPr>
        <w:t>27.预付款</w:t>
      </w:r>
    </w:p>
    <w:p>
      <w:pPr>
        <w:adjustRightInd/>
        <w:spacing w:line="360" w:lineRule="auto"/>
        <w:ind w:firstLine="480" w:firstLineChars="200"/>
        <w:rPr>
          <w:color w:val="auto"/>
          <w:highlight w:val="none"/>
        </w:rPr>
      </w:pPr>
      <w:r>
        <w:rPr>
          <w:rFonts w:hint="eastAsia" w:ascii="宋体" w:hAnsi="宋体"/>
          <w:color w:val="auto"/>
          <w:sz w:val="24"/>
          <w:highlight w:val="none"/>
        </w:rPr>
        <w:t>采购单位应当在政府采购合同中约定预付款，对中小企业合同预付款比例原则上不低于合同金额的</w:t>
      </w:r>
      <w:r>
        <w:rPr>
          <w:rFonts w:ascii="宋体" w:hAnsi="宋体"/>
          <w:color w:val="auto"/>
          <w:sz w:val="24"/>
          <w:highlight w:val="none"/>
        </w:rPr>
        <w:t>40％</w:t>
      </w:r>
      <w:r>
        <w:rPr>
          <w:rFonts w:hint="eastAsia" w:ascii="宋体" w:hAnsi="宋体"/>
          <w:color w:val="auto"/>
          <w:sz w:val="24"/>
          <w:highlight w:val="none"/>
        </w:rPr>
        <w:t>，不高于合同金额的</w:t>
      </w:r>
      <w:r>
        <w:rPr>
          <w:rFonts w:ascii="宋体" w:hAnsi="宋体"/>
          <w:color w:val="auto"/>
          <w:sz w:val="24"/>
          <w:highlight w:val="none"/>
        </w:rPr>
        <w:t>70%；项目分年安排预算的，每年预付款比例</w:t>
      </w:r>
      <w:r>
        <w:rPr>
          <w:rFonts w:hint="eastAsia" w:ascii="宋体" w:hAnsi="宋体"/>
          <w:color w:val="auto"/>
          <w:sz w:val="24"/>
          <w:highlight w:val="none"/>
        </w:rPr>
        <w:t>不低于</w:t>
      </w:r>
      <w:r>
        <w:rPr>
          <w:rFonts w:ascii="宋体" w:hAnsi="宋体"/>
          <w:color w:val="auto"/>
          <w:sz w:val="24"/>
          <w:highlight w:val="none"/>
        </w:rPr>
        <w:t>项目年度计划支付资金额的40％</w:t>
      </w:r>
      <w:r>
        <w:rPr>
          <w:rFonts w:hint="eastAsia" w:ascii="宋体" w:hAnsi="宋体"/>
          <w:color w:val="auto"/>
          <w:sz w:val="24"/>
          <w:highlight w:val="none"/>
        </w:rPr>
        <w:t>，不高于合同金额的</w:t>
      </w:r>
      <w:r>
        <w:rPr>
          <w:rFonts w:ascii="宋体" w:hAnsi="宋体"/>
          <w:color w:val="auto"/>
          <w:sz w:val="24"/>
          <w:highlight w:val="none"/>
        </w:rPr>
        <w:t>70%；采购项目实施以人工投入为主的，</w:t>
      </w:r>
      <w:r>
        <w:rPr>
          <w:rFonts w:hint="eastAsia" w:ascii="宋体" w:hAnsi="宋体"/>
          <w:color w:val="auto"/>
          <w:sz w:val="24"/>
          <w:highlight w:val="none"/>
        </w:rPr>
        <w:t>可适当降低预付款比例，但不得低于</w:t>
      </w:r>
      <w:r>
        <w:rPr>
          <w:rFonts w:ascii="宋体" w:hAnsi="宋体"/>
          <w:color w:val="auto"/>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color w:val="auto"/>
          <w:sz w:val="24"/>
          <w:highlight w:val="none"/>
        </w:rPr>
        <w:t>供应商</w:t>
      </w:r>
      <w:r>
        <w:rPr>
          <w:rFonts w:ascii="宋体" w:hAnsi="宋体"/>
          <w:color w:val="auto"/>
          <w:sz w:val="24"/>
          <w:highlight w:val="none"/>
        </w:rPr>
        <w:t>明确表示无需预付款或者主动要求降低预付款比例的，</w:t>
      </w:r>
      <w:r>
        <w:rPr>
          <w:rFonts w:hint="eastAsia" w:ascii="宋体" w:hAnsi="宋体"/>
          <w:color w:val="auto"/>
          <w:sz w:val="24"/>
          <w:highlight w:val="none"/>
        </w:rPr>
        <w:t>采购单位</w:t>
      </w:r>
      <w:r>
        <w:rPr>
          <w:rFonts w:ascii="宋体" w:hAnsi="宋体"/>
          <w:color w:val="auto"/>
          <w:sz w:val="24"/>
          <w:highlight w:val="none"/>
        </w:rPr>
        <w:t>可不适用前述规定。</w:t>
      </w:r>
      <w:r>
        <w:rPr>
          <w:rFonts w:hint="eastAsia" w:ascii="宋体" w:hAnsi="宋体"/>
          <w:color w:val="auto"/>
          <w:sz w:val="24"/>
          <w:highlight w:val="none"/>
        </w:rPr>
        <w:t>采购单位</w:t>
      </w:r>
      <w:r>
        <w:rPr>
          <w:rFonts w:ascii="宋体" w:hAnsi="宋体"/>
          <w:color w:val="auto"/>
          <w:sz w:val="24"/>
          <w:highlight w:val="none"/>
        </w:rPr>
        <w:t>根据项目特点、供应商诚信等因素，可以要求</w:t>
      </w:r>
      <w:r>
        <w:rPr>
          <w:rFonts w:hint="eastAsia" w:ascii="宋体" w:hAnsi="宋体"/>
          <w:color w:val="auto"/>
          <w:sz w:val="24"/>
          <w:highlight w:val="none"/>
        </w:rPr>
        <w:t>供应商</w:t>
      </w:r>
      <w:r>
        <w:rPr>
          <w:rFonts w:ascii="宋体" w:hAnsi="宋体"/>
          <w:color w:val="auto"/>
          <w:sz w:val="24"/>
          <w:highlight w:val="none"/>
        </w:rPr>
        <w:t>提交银行、保险公司等金融机构出具的预付款保函或其他担保措施。政府采购预付款应在合同生效以及具备实施条件后5个工作日内支付。</w:t>
      </w:r>
      <w:r>
        <w:rPr>
          <w:rFonts w:hint="eastAsia" w:ascii="宋体" w:hAnsi="宋体"/>
          <w:color w:val="auto"/>
          <w:sz w:val="24"/>
          <w:highlight w:val="none"/>
        </w:rPr>
        <w:t>政府采购工程以及与工程建设有关的货物、服务，采用招标方式采购的，预付款从其相关规定。供应商可登录政采云前台大厅选择金融服务</w:t>
      </w:r>
      <w:r>
        <w:rPr>
          <w:rFonts w:ascii="宋体" w:hAnsi="宋体"/>
          <w:color w:val="auto"/>
          <w:sz w:val="24"/>
          <w:highlight w:val="none"/>
        </w:rPr>
        <w:t xml:space="preserve"> - </w:t>
      </w:r>
      <w:r>
        <w:rPr>
          <w:rFonts w:hint="eastAsia" w:ascii="宋体" w:hAnsi="宋体"/>
          <w:color w:val="auto"/>
          <w:sz w:val="24"/>
          <w:highlight w:val="none"/>
        </w:rPr>
        <w:t>【保函保险服务】出具预付款保函，具体步骤：选择产品—填写供应商信息—选择中标项目—确认信息—等待保险</w:t>
      </w:r>
      <w:r>
        <w:rPr>
          <w:rFonts w:ascii="宋体" w:hAnsi="宋体"/>
          <w:color w:val="auto"/>
          <w:sz w:val="24"/>
          <w:highlight w:val="none"/>
        </w:rPr>
        <w:t>/保函受理—确认保单—支付保费—成功出单。政</w:t>
      </w:r>
      <w:r>
        <w:rPr>
          <w:rFonts w:hint="eastAsia" w:ascii="宋体" w:hAnsi="宋体"/>
          <w:color w:val="auto"/>
          <w:sz w:val="24"/>
          <w:highlight w:val="none"/>
        </w:rPr>
        <w:t>采云金融专线</w:t>
      </w:r>
      <w:r>
        <w:rPr>
          <w:rFonts w:ascii="宋体" w:hAnsi="宋体"/>
          <w:color w:val="auto"/>
          <w:sz w:val="24"/>
          <w:highlight w:val="none"/>
        </w:rPr>
        <w:t>400-903-9583。</w:t>
      </w:r>
    </w:p>
    <w:p>
      <w:pPr>
        <w:rPr>
          <w:color w:val="auto"/>
          <w:highlight w:val="none"/>
        </w:rPr>
      </w:pPr>
    </w:p>
    <w:p>
      <w:pPr>
        <w:snapToGrid w:val="0"/>
        <w:spacing w:line="360" w:lineRule="auto"/>
        <w:ind w:firstLine="3357" w:firstLineChars="1045"/>
        <w:rPr>
          <w:rFonts w:ascii="宋体" w:hAnsi="宋体" w:cs="宋体"/>
          <w:b/>
          <w:color w:val="auto"/>
          <w:sz w:val="32"/>
          <w:highlight w:val="none"/>
        </w:rPr>
      </w:pPr>
    </w:p>
    <w:p>
      <w:pPr>
        <w:snapToGrid w:val="0"/>
        <w:spacing w:line="360" w:lineRule="auto"/>
        <w:jc w:val="center"/>
        <w:outlineLvl w:val="0"/>
        <w:rPr>
          <w:rFonts w:ascii="宋体" w:hAnsi="宋体" w:cs="宋体"/>
          <w:b/>
          <w:color w:val="auto"/>
          <w:sz w:val="32"/>
          <w:szCs w:val="20"/>
          <w:highlight w:val="none"/>
        </w:rPr>
      </w:pPr>
      <w:r>
        <w:rPr>
          <w:rFonts w:hint="eastAsia" w:ascii="宋体" w:hAnsi="宋体" w:cs="宋体"/>
          <w:b/>
          <w:color w:val="auto"/>
          <w:sz w:val="32"/>
          <w:szCs w:val="20"/>
          <w:highlight w:val="none"/>
        </w:rPr>
        <w:t>八、电子交易活动的中止</w:t>
      </w:r>
    </w:p>
    <w:p>
      <w:pPr>
        <w:pStyle w:val="131"/>
        <w:snapToGrid w:val="0"/>
        <w:spacing w:before="0"/>
        <w:ind w:firstLine="0" w:firstLineChars="0"/>
        <w:rPr>
          <w:rFonts w:ascii="宋体" w:hAnsi="宋体" w:cs="宋体"/>
          <w:color w:val="auto"/>
          <w:highlight w:val="none"/>
        </w:rPr>
      </w:pPr>
      <w:r>
        <w:rPr>
          <w:rFonts w:ascii="宋体" w:hAnsi="宋体" w:cs="宋体"/>
          <w:b/>
          <w:bCs/>
          <w:color w:val="auto"/>
          <w:highlight w:val="none"/>
        </w:rPr>
        <w:t>2</w:t>
      </w:r>
      <w:r>
        <w:rPr>
          <w:rFonts w:ascii="宋体" w:hAnsi="宋体" w:cs="宋体"/>
          <w:b/>
          <w:bCs/>
          <w:color w:val="auto"/>
          <w:szCs w:val="24"/>
          <w:highlight w:val="none"/>
        </w:rPr>
        <w:t>8</w:t>
      </w:r>
      <w:r>
        <w:rPr>
          <w:rFonts w:hint="eastAsia" w:ascii="宋体" w:hAnsi="宋体" w:cs="宋体"/>
          <w:b/>
          <w:color w:val="auto"/>
          <w:szCs w:val="24"/>
          <w:highlight w:val="none"/>
        </w:rPr>
        <w:t>. 电子交易活动的中止。</w:t>
      </w:r>
      <w:r>
        <w:rPr>
          <w:rFonts w:hint="eastAsia" w:ascii="宋体" w:hAnsi="宋体" w:cs="宋体"/>
          <w:color w:val="auto"/>
          <w:highlight w:val="none"/>
        </w:rPr>
        <w:t>采购过程中出现以下情形，导致电子交易平台无法正常运行，或者无法保证电子交易的公平、公正和安全时，采购代理机构可中止电子交易活动：</w:t>
      </w:r>
    </w:p>
    <w:p>
      <w:pPr>
        <w:pStyle w:val="131"/>
        <w:snapToGrid w:val="0"/>
        <w:spacing w:before="0"/>
        <w:ind w:firstLine="480"/>
        <w:rPr>
          <w:rFonts w:ascii="宋体" w:hAnsi="宋体" w:cs="宋体"/>
          <w:color w:val="auto"/>
          <w:highlight w:val="none"/>
        </w:rPr>
      </w:pPr>
      <w:r>
        <w:rPr>
          <w:rFonts w:hint="eastAsia" w:ascii="宋体" w:hAnsi="宋体" w:cs="宋体"/>
          <w:color w:val="auto"/>
          <w:highlight w:val="none"/>
        </w:rPr>
        <w:t xml:space="preserve">28.1电子交易平台发生故障而无法登录访问的； </w:t>
      </w:r>
    </w:p>
    <w:p>
      <w:pPr>
        <w:pStyle w:val="131"/>
        <w:snapToGrid w:val="0"/>
        <w:spacing w:before="0"/>
        <w:ind w:firstLine="480"/>
        <w:rPr>
          <w:rFonts w:ascii="宋体" w:hAnsi="宋体" w:cs="宋体"/>
          <w:color w:val="auto"/>
          <w:highlight w:val="none"/>
        </w:rPr>
      </w:pPr>
      <w:r>
        <w:rPr>
          <w:rFonts w:hint="eastAsia" w:ascii="宋体" w:hAnsi="宋体" w:cs="宋体"/>
          <w:color w:val="auto"/>
          <w:highlight w:val="none"/>
        </w:rPr>
        <w:t>28.2电子交易平台应用或数据库出现错误，不能进行正常操作的；</w:t>
      </w:r>
    </w:p>
    <w:p>
      <w:pPr>
        <w:pStyle w:val="131"/>
        <w:snapToGrid w:val="0"/>
        <w:spacing w:before="0"/>
        <w:ind w:firstLine="480"/>
        <w:rPr>
          <w:rFonts w:ascii="宋体" w:hAnsi="宋体" w:cs="宋体"/>
          <w:color w:val="auto"/>
          <w:highlight w:val="none"/>
        </w:rPr>
      </w:pPr>
      <w:r>
        <w:rPr>
          <w:rFonts w:hint="eastAsia" w:ascii="宋体" w:hAnsi="宋体" w:cs="宋体"/>
          <w:color w:val="auto"/>
          <w:highlight w:val="none"/>
        </w:rPr>
        <w:t>28.3电子交易平台发现严重安全漏洞，有潜在泄密危险的；</w:t>
      </w:r>
    </w:p>
    <w:p>
      <w:pPr>
        <w:pStyle w:val="131"/>
        <w:snapToGrid w:val="0"/>
        <w:spacing w:before="0"/>
        <w:ind w:firstLine="480"/>
        <w:rPr>
          <w:rFonts w:ascii="宋体" w:hAnsi="宋体" w:cs="宋体"/>
          <w:color w:val="auto"/>
          <w:highlight w:val="none"/>
        </w:rPr>
      </w:pPr>
      <w:r>
        <w:rPr>
          <w:rFonts w:hint="eastAsia" w:ascii="宋体" w:hAnsi="宋体" w:cs="宋体"/>
          <w:color w:val="auto"/>
          <w:highlight w:val="none"/>
        </w:rPr>
        <w:t xml:space="preserve">28.4病毒发作导致不能进行正常操作的； </w:t>
      </w:r>
    </w:p>
    <w:p>
      <w:pPr>
        <w:pStyle w:val="131"/>
        <w:snapToGrid w:val="0"/>
        <w:spacing w:before="0"/>
        <w:ind w:firstLine="480"/>
        <w:rPr>
          <w:rFonts w:ascii="宋体" w:hAnsi="宋体" w:cs="宋体"/>
          <w:color w:val="auto"/>
          <w:highlight w:val="none"/>
        </w:rPr>
      </w:pPr>
      <w:r>
        <w:rPr>
          <w:rFonts w:hint="eastAsia" w:ascii="宋体" w:hAnsi="宋体" w:cs="宋体"/>
          <w:color w:val="auto"/>
          <w:highlight w:val="none"/>
        </w:rPr>
        <w:t>28.5其他无法保证电子交易的公平、公正和安全的情况。</w:t>
      </w:r>
    </w:p>
    <w:p>
      <w:pPr>
        <w:pStyle w:val="131"/>
        <w:snapToGrid w:val="0"/>
        <w:spacing w:before="0"/>
        <w:ind w:firstLine="0" w:firstLineChars="0"/>
        <w:rPr>
          <w:rFonts w:ascii="宋体" w:hAnsi="宋体" w:cs="宋体"/>
          <w:color w:val="auto"/>
          <w:highlight w:val="none"/>
        </w:rPr>
      </w:pPr>
      <w:r>
        <w:rPr>
          <w:rFonts w:hint="eastAsia" w:ascii="宋体" w:hAnsi="宋体" w:cs="宋体"/>
          <w:color w:val="auto"/>
          <w:highlight w:val="none"/>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color w:val="auto"/>
          <w:sz w:val="24"/>
          <w:highlight w:val="none"/>
        </w:rPr>
      </w:pPr>
    </w:p>
    <w:p>
      <w:pPr>
        <w:snapToGrid w:val="0"/>
        <w:spacing w:line="360" w:lineRule="auto"/>
        <w:jc w:val="center"/>
        <w:outlineLvl w:val="0"/>
        <w:rPr>
          <w:rFonts w:ascii="宋体" w:hAnsi="宋体" w:cs="宋体"/>
          <w:b/>
          <w:color w:val="auto"/>
          <w:sz w:val="32"/>
          <w:szCs w:val="20"/>
          <w:highlight w:val="none"/>
        </w:rPr>
      </w:pPr>
      <w:r>
        <w:rPr>
          <w:rFonts w:hint="eastAsia" w:ascii="宋体" w:hAnsi="宋体" w:cs="宋体"/>
          <w:b/>
          <w:color w:val="auto"/>
          <w:sz w:val="32"/>
          <w:szCs w:val="20"/>
          <w:highlight w:val="none"/>
        </w:rPr>
        <w:t>九、验收</w:t>
      </w:r>
    </w:p>
    <w:p>
      <w:pPr>
        <w:pStyle w:val="26"/>
        <w:spacing w:line="360" w:lineRule="auto"/>
        <w:ind w:firstLine="0" w:firstLineChars="0"/>
        <w:rPr>
          <w:rFonts w:cs="宋体"/>
          <w:b/>
          <w:color w:val="auto"/>
          <w:highlight w:val="none"/>
        </w:rPr>
      </w:pPr>
      <w:r>
        <w:rPr>
          <w:rFonts w:hint="eastAsia" w:cs="宋体"/>
          <w:b/>
          <w:color w:val="auto"/>
          <w:highlight w:val="none"/>
        </w:rPr>
        <w:t>30.验收</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30.1</w:t>
      </w:r>
      <w:r>
        <w:rPr>
          <w:rFonts w:hint="eastAsia" w:ascii="宋体" w:hAnsi="宋体" w:cs="宋体"/>
          <w:color w:val="auto"/>
          <w:kern w:val="0"/>
          <w:sz w:val="24"/>
          <w:highlight w:val="none"/>
        </w:rPr>
        <w:t>采购人应当根据采购项目的具体情况，自行组织项目验收或者委托采购代理机构验收。</w:t>
      </w:r>
      <w:r>
        <w:rPr>
          <w:rFonts w:hint="eastAsia" w:ascii="宋体" w:hAnsi="宋体" w:cs="宋体"/>
          <w:color w:val="auto"/>
          <w:kern w:val="0"/>
          <w:sz w:val="24"/>
          <w:highlight w:val="none"/>
        </w:rPr>
        <w:t>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30.2采购人可以邀请参加本项目的其他供应商或者第三方机构参与验收。参与验收的供应商或者第三方机构的意见作为验收书的参考资料一并存档。</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color w:val="auto"/>
          <w:sz w:val="18"/>
          <w:szCs w:val="18"/>
          <w:highlight w:val="none"/>
        </w:rPr>
      </w:pPr>
      <w:r>
        <w:rPr>
          <w:rFonts w:hint="eastAsia" w:ascii="宋体" w:hAnsi="宋体" w:cs="宋体"/>
          <w:color w:val="auto"/>
          <w:kern w:val="0"/>
          <w:sz w:val="24"/>
          <w:highlight w:val="none"/>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9"/>
    <w:p>
      <w:pPr>
        <w:pStyle w:val="3"/>
        <w:adjustRightInd w:val="0"/>
        <w:snapToGrid w:val="0"/>
        <w:ind w:left="0" w:firstLine="480" w:firstLineChars="200"/>
        <w:rPr>
          <w:rFonts w:ascii="宋体" w:hAnsi="宋体" w:eastAsia="宋体" w:cs="宋体"/>
          <w:b w:val="0"/>
          <w:bCs w:val="0"/>
          <w:color w:val="auto"/>
          <w:kern w:val="0"/>
          <w:sz w:val="24"/>
          <w:szCs w:val="24"/>
          <w:highlight w:val="none"/>
          <w:lang w:val="en-US"/>
        </w:rPr>
      </w:pPr>
      <w:bookmarkStart w:id="20" w:name="_Hlt74714665"/>
      <w:bookmarkEnd w:id="20"/>
      <w:bookmarkStart w:id="21" w:name="_Hlt74729768"/>
      <w:bookmarkEnd w:id="21"/>
      <w:bookmarkStart w:id="22" w:name="_Hlt74730295"/>
      <w:bookmarkEnd w:id="22"/>
      <w:bookmarkStart w:id="23" w:name="_Hlt75236011"/>
      <w:bookmarkEnd w:id="23"/>
      <w:bookmarkStart w:id="24" w:name="_Hlt68072998"/>
      <w:bookmarkEnd w:id="24"/>
      <w:bookmarkStart w:id="25" w:name="_Hlt68073093"/>
      <w:bookmarkEnd w:id="25"/>
      <w:bookmarkStart w:id="26" w:name="_Hlt68072990"/>
      <w:bookmarkEnd w:id="26"/>
      <w:bookmarkStart w:id="27" w:name="_Hlt75236290"/>
      <w:bookmarkEnd w:id="27"/>
      <w:bookmarkStart w:id="28" w:name="_Hlt68057669"/>
      <w:bookmarkEnd w:id="28"/>
      <w:bookmarkStart w:id="29" w:name="_Hlt75236101"/>
      <w:bookmarkEnd w:id="29"/>
      <w:bookmarkStart w:id="30" w:name="_Hlt74707468"/>
      <w:bookmarkEnd w:id="30"/>
      <w:bookmarkStart w:id="31" w:name="_Hlt68403820"/>
      <w:bookmarkEnd w:id="31"/>
      <w:r>
        <w:rPr>
          <w:rFonts w:hint="eastAsia" w:ascii="宋体" w:hAnsi="宋体" w:eastAsia="宋体" w:cs="宋体"/>
          <w:b w:val="0"/>
          <w:bCs w:val="0"/>
          <w:color w:val="auto"/>
          <w:kern w:val="0"/>
          <w:sz w:val="24"/>
          <w:szCs w:val="24"/>
          <w:highlight w:val="none"/>
          <w:lang w:val="en-US"/>
        </w:rPr>
        <w:t>30.5 对于满足合同约定的采购资金支付条件的，供应商可通过政采云平台提起在线支付申请、查询支付结果，路径为政采云-我的工作台-合同管理-支付管理。对于供应商提起在线支付申请的，采购人应当按规定做好审核并完成支付。</w:t>
      </w:r>
    </w:p>
    <w:p>
      <w:pPr>
        <w:pStyle w:val="80"/>
        <w:rPr>
          <w:color w:val="auto"/>
          <w:highlight w:val="none"/>
        </w:rPr>
        <w:sectPr>
          <w:pgSz w:w="11906" w:h="16838"/>
          <w:pgMar w:top="1440" w:right="1080" w:bottom="1440" w:left="1080" w:header="851" w:footer="992" w:gutter="0"/>
          <w:cols w:space="720" w:num="1"/>
          <w:titlePg/>
          <w:docGrid w:linePitch="312" w:charSpace="0"/>
        </w:sectPr>
      </w:pPr>
    </w:p>
    <w:bookmarkEnd w:id="14"/>
    <w:bookmarkEnd w:id="15"/>
    <w:p>
      <w:pPr>
        <w:pStyle w:val="34"/>
        <w:spacing w:line="360" w:lineRule="auto"/>
        <w:jc w:val="center"/>
        <w:rPr>
          <w:rFonts w:hAnsi="宋体" w:cs="宋体"/>
          <w:b/>
          <w:snapToGrid/>
          <w:color w:val="auto"/>
          <w:sz w:val="36"/>
          <w:szCs w:val="20"/>
          <w:highlight w:val="none"/>
        </w:rPr>
      </w:pPr>
      <w:bookmarkStart w:id="32" w:name="第四部分"/>
      <w:r>
        <w:rPr>
          <w:rFonts w:hint="eastAsia" w:hAnsi="宋体" w:cs="宋体"/>
          <w:b/>
          <w:snapToGrid/>
          <w:color w:val="auto"/>
          <w:sz w:val="36"/>
          <w:szCs w:val="20"/>
          <w:highlight w:val="none"/>
        </w:rPr>
        <w:t>第三部分 采购需求</w:t>
      </w:r>
    </w:p>
    <w:p>
      <w:pPr>
        <w:snapToGrid w:val="0"/>
        <w:spacing w:line="360" w:lineRule="auto"/>
        <w:ind w:firstLine="482" w:firstLineChars="200"/>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一、项目概述:</w:t>
      </w:r>
    </w:p>
    <w:p>
      <w:pPr>
        <w:snapToGrid w:val="0"/>
        <w:spacing w:line="360" w:lineRule="auto"/>
        <w:ind w:firstLine="480" w:firstLineChars="200"/>
        <w:rPr>
          <w:rFonts w:ascii="仿宋" w:hAnsi="仿宋" w:eastAsia="仿宋" w:cs="仿宋"/>
          <w:color w:val="auto"/>
          <w:sz w:val="24"/>
          <w:highlight w:val="none"/>
          <w:u w:color="000000"/>
        </w:rPr>
      </w:pPr>
      <w:r>
        <w:rPr>
          <w:rFonts w:hint="eastAsia" w:ascii="仿宋" w:hAnsi="仿宋" w:eastAsia="仿宋" w:cs="仿宋"/>
          <w:color w:val="auto"/>
          <w:kern w:val="0"/>
          <w:sz w:val="24"/>
          <w:highlight w:val="none"/>
        </w:rPr>
        <w:t>1.</w:t>
      </w:r>
      <w:r>
        <w:rPr>
          <w:rFonts w:hint="eastAsia" w:ascii="仿宋" w:hAnsi="仿宋" w:eastAsia="仿宋" w:cs="仿宋"/>
          <w:color w:val="auto"/>
          <w:sz w:val="24"/>
          <w:highlight w:val="none"/>
          <w:u w:color="000000"/>
        </w:rPr>
        <w:t xml:space="preserve"> 采购预算390万元，最高限价389</w:t>
      </w:r>
      <w:r>
        <w:rPr>
          <w:rFonts w:hint="eastAsia" w:ascii="仿宋" w:hAnsi="仿宋" w:eastAsia="仿宋" w:cs="仿宋"/>
          <w:color w:val="auto"/>
          <w:sz w:val="24"/>
          <w:highlight w:val="none"/>
          <w:u w:color="000000"/>
          <w:lang w:val="en-US" w:eastAsia="zh-CN"/>
        </w:rPr>
        <w:t>.</w:t>
      </w:r>
      <w:r>
        <w:rPr>
          <w:rFonts w:hint="eastAsia" w:ascii="仿宋" w:hAnsi="仿宋" w:eastAsia="仿宋" w:cs="仿宋"/>
          <w:color w:val="auto"/>
          <w:sz w:val="24"/>
          <w:highlight w:val="none"/>
          <w:u w:color="000000"/>
        </w:rPr>
        <w:t>3640万元。</w:t>
      </w:r>
    </w:p>
    <w:p>
      <w:pPr>
        <w:snapToGrid w:val="0"/>
        <w:spacing w:line="360" w:lineRule="auto"/>
        <w:ind w:firstLine="480" w:firstLineChars="200"/>
        <w:rPr>
          <w:rFonts w:ascii="仿宋" w:hAnsi="仿宋" w:eastAsia="仿宋" w:cs="仿宋"/>
          <w:color w:val="auto"/>
          <w:kern w:val="0"/>
          <w:sz w:val="24"/>
          <w:highlight w:val="none"/>
          <w:u w:val="none"/>
        </w:rPr>
      </w:pPr>
      <w:r>
        <w:rPr>
          <w:rFonts w:hint="eastAsia" w:ascii="仿宋" w:hAnsi="仿宋" w:eastAsia="仿宋" w:cs="仿宋"/>
          <w:color w:val="auto"/>
          <w:kern w:val="0"/>
          <w:sz w:val="24"/>
          <w:highlight w:val="none"/>
          <w:u w:val="none"/>
        </w:rPr>
        <w:t>2.施工内容：包括杭州市第七人民医院装修、暖通、给排水等施工。</w:t>
      </w:r>
    </w:p>
    <w:p>
      <w:pPr>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3.项目工期：</w:t>
      </w:r>
      <w:r>
        <w:rPr>
          <w:rFonts w:ascii="仿宋" w:hAnsi="仿宋" w:eastAsia="仿宋" w:cs="仿宋"/>
          <w:color w:val="auto"/>
          <w:kern w:val="0"/>
          <w:sz w:val="24"/>
          <w:highlight w:val="none"/>
        </w:rPr>
        <w:t>150</w:t>
      </w:r>
      <w:r>
        <w:rPr>
          <w:rFonts w:hint="eastAsia" w:ascii="仿宋" w:hAnsi="仿宋" w:eastAsia="仿宋" w:cs="仿宋"/>
          <w:color w:val="auto"/>
          <w:kern w:val="0"/>
          <w:sz w:val="24"/>
          <w:highlight w:val="none"/>
        </w:rPr>
        <w:t>日历天</w:t>
      </w:r>
    </w:p>
    <w:p>
      <w:pPr>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4.施工地点：</w:t>
      </w:r>
      <w:r>
        <w:rPr>
          <w:rFonts w:hint="eastAsia" w:ascii="仿宋" w:hAnsi="仿宋" w:eastAsia="仿宋" w:cs="仿宋"/>
          <w:color w:val="auto"/>
          <w:sz w:val="24"/>
          <w:highlight w:val="none"/>
        </w:rPr>
        <w:t>杭州</w:t>
      </w:r>
      <w:r>
        <w:rPr>
          <w:rFonts w:hint="eastAsia" w:ascii="仿宋" w:hAnsi="仿宋" w:eastAsia="仿宋" w:cs="仿宋"/>
          <w:color w:val="auto"/>
          <w:kern w:val="0"/>
          <w:sz w:val="24"/>
          <w:highlight w:val="none"/>
        </w:rPr>
        <w:t>市第七人民医院。</w:t>
      </w:r>
    </w:p>
    <w:p>
      <w:pPr>
        <w:spacing w:line="360" w:lineRule="auto"/>
        <w:ind w:firstLine="480" w:firstLineChars="200"/>
        <w:rPr>
          <w:rFonts w:ascii="仿宋" w:hAnsi="仿宋" w:eastAsia="仿宋" w:cs="仿宋"/>
          <w:color w:val="auto"/>
          <w:sz w:val="24"/>
          <w:highlight w:val="none"/>
        </w:rPr>
      </w:pPr>
    </w:p>
    <w:p>
      <w:pPr>
        <w:snapToGrid w:val="0"/>
        <w:spacing w:line="360" w:lineRule="auto"/>
        <w:ind w:firstLine="482" w:firstLineChars="200"/>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二、项目施工要求</w:t>
      </w:r>
    </w:p>
    <w:p>
      <w:pPr>
        <w:snapToGrid w:val="0"/>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1、按国家、省市现行有关技术规范标准进行施工，确保项目质量。</w:t>
      </w:r>
    </w:p>
    <w:p>
      <w:pPr>
        <w:snapToGrid w:val="0"/>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2、服从采购人的进程安排，及时进场并保证工期。</w:t>
      </w:r>
    </w:p>
    <w:p>
      <w:pPr>
        <w:snapToGrid w:val="0"/>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3、应严格按本次项目采购的规定要求履行并承担自己的职责。</w:t>
      </w:r>
    </w:p>
    <w:p>
      <w:pPr>
        <w:snapToGrid w:val="0"/>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4、按采购人审定的图纸要求、合同条款、技术规范和工程量清单和材料的要求，承担项目的施工、建成及其后期缺陷修复工作。</w:t>
      </w:r>
    </w:p>
    <w:p>
      <w:pPr>
        <w:snapToGrid w:val="0"/>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5、负责施工场地的安全文明生产。</w:t>
      </w:r>
    </w:p>
    <w:p>
      <w:pPr>
        <w:snapToGrid w:val="0"/>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6、建立项目施工的质量保证体系。</w:t>
      </w:r>
    </w:p>
    <w:p>
      <w:pPr>
        <w:snapToGrid w:val="0"/>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7、负责施工场地、人员、车辆、机械设备、原材料等的施工保障。</w:t>
      </w:r>
    </w:p>
    <w:p>
      <w:pPr>
        <w:snapToGrid w:val="0"/>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8、接受采购人、监理对文明施工、安全施工、质量、施工时效等的监管。</w:t>
      </w:r>
    </w:p>
    <w:p>
      <w:pPr>
        <w:snapToGrid w:val="0"/>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9、采购人、监理在巡查过程中发现供应商在施工中不按国家有关标准施工，有权责令返工；</w:t>
      </w:r>
    </w:p>
    <w:p>
      <w:pPr>
        <w:snapToGrid w:val="0"/>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10、供应商有下列行为之一的，采购人有权终止合同。</w:t>
      </w:r>
    </w:p>
    <w:p>
      <w:pPr>
        <w:snapToGrid w:val="0"/>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A、不符合工程技术标准的；</w:t>
      </w:r>
    </w:p>
    <w:p>
      <w:pPr>
        <w:snapToGrid w:val="0"/>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B、偷工减料的；</w:t>
      </w:r>
    </w:p>
    <w:p>
      <w:pPr>
        <w:snapToGrid w:val="0"/>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C、不按图施工的；</w:t>
      </w:r>
    </w:p>
    <w:p>
      <w:pPr>
        <w:snapToGrid w:val="0"/>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D、造成重特大责任事故的；</w:t>
      </w:r>
    </w:p>
    <w:p>
      <w:pPr>
        <w:snapToGrid w:val="0"/>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E、不文明安全施工的；</w:t>
      </w:r>
    </w:p>
    <w:p>
      <w:pPr>
        <w:snapToGrid w:val="0"/>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F、不服从现场指挥的；</w:t>
      </w:r>
    </w:p>
    <w:p>
      <w:pPr>
        <w:snapToGrid w:val="0"/>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G、全部或部分工程转包、分包。</w:t>
      </w:r>
    </w:p>
    <w:p>
      <w:pPr>
        <w:snapToGrid w:val="0"/>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11、供应商对施工场地周边一定范围环境负有责任，如：施工中不得随意排放泥浆和其他浑浊废弃物，不得随意抛掷各类垃圾、建筑材料等杂物；运输建筑材料、垃圾的车辆应采取有效措施保证行驶途中不污染道路和环境等。费用由供应商承担，相关费用含在报价中。</w:t>
      </w:r>
    </w:p>
    <w:p>
      <w:pPr>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sz w:val="24"/>
          <w:highlight w:val="none"/>
        </w:rPr>
        <w:t>12、供应商在施工过程中，涉及水、电由供应商自理。</w:t>
      </w:r>
      <w:r>
        <w:rPr>
          <w:rFonts w:hint="eastAsia" w:ascii="仿宋" w:hAnsi="仿宋" w:eastAsia="仿宋" w:cs="仿宋"/>
          <w:color w:val="auto"/>
          <w:kern w:val="0"/>
          <w:sz w:val="24"/>
          <w:highlight w:val="none"/>
        </w:rPr>
        <w:t>费用由供应商承担，最终结算时按照工程款的0.5%进行扣除。施工区域临时及接水接电方案应事先获得采购人同意，不得私拉乱接。</w:t>
      </w:r>
    </w:p>
    <w:p>
      <w:pPr>
        <w:snapToGrid w:val="0"/>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13、本工程完工后，供应商需及时清理现场残余建筑垃圾，做好完工退场准备。</w:t>
      </w:r>
    </w:p>
    <w:p>
      <w:pPr>
        <w:snapToGrid w:val="0"/>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14、供应商须根据总工期充分考虑组织措施增加费，技术措施增加费，人员、机械窝工及相关全部费用，并计入报价。同时供应商须在进场施工前详细编排针对本项目的施工组织设计安排、施工进度安排、赶工方案、质量把控等具体施工服务措施及方案。</w:t>
      </w:r>
    </w:p>
    <w:p>
      <w:pPr>
        <w:snapToGrid w:val="0"/>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15、因项目实施期间，相关施工区域仍将维持正常运行，为减少对正常办公秩序的影响，要求确保文明施工措施到位。</w:t>
      </w:r>
    </w:p>
    <w:p>
      <w:pPr>
        <w:snapToGrid w:val="0"/>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16、施工区域原有设施、构筑物、重要设备及设施应采取可靠临时保护措施（包括但不局限于塑料薄膜、彩条布保护、各种护角及墙地面铺装保护等），做好对各项设施的成品保护，相关费用含在响应报价中。</w:t>
      </w:r>
    </w:p>
    <w:p>
      <w:pPr>
        <w:snapToGrid w:val="0"/>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17、项目实施期间，供应商进场后直至施工完成、竣工验收移交采购人之前，对施工区域的各项设施完好性及消防安全、人身安全工作承担全部责任，如在施工过程中，因供应商原因导致出现安全事故（包括导致其他第三方人员出现安全事故的），相应责任及赔偿由供应商全部承担。</w:t>
      </w:r>
    </w:p>
    <w:p>
      <w:pPr>
        <w:snapToGrid w:val="0"/>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18、本工程完工后，除竣工图纸外，供应商按照采购人要求出具5份结算、归档资料，相关费用包含在响应报价中。</w:t>
      </w:r>
    </w:p>
    <w:p>
      <w:pPr>
        <w:snapToGrid w:val="0"/>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19、按疫情期间人员及物流严格按照政府有关规定管理，供应商要严格落实和遵守疫情期间所有相关规定，相关费用计入本次报价。因疫情影响产生的人员、工期影响，由供应商自行调节，工期及合同费用不受影响。</w:t>
      </w:r>
    </w:p>
    <w:p>
      <w:pPr>
        <w:snapToGrid w:val="0"/>
        <w:spacing w:line="360" w:lineRule="auto"/>
        <w:ind w:firstLine="480" w:firstLineChars="200"/>
        <w:rPr>
          <w:rFonts w:eastAsia="仿宋"/>
          <w:color w:val="auto"/>
          <w:highlight w:val="none"/>
        </w:rPr>
      </w:pPr>
      <w:r>
        <w:rPr>
          <w:rFonts w:hint="eastAsia" w:ascii="仿宋" w:eastAsia="仿宋" w:cs="仿宋"/>
          <w:color w:val="auto"/>
          <w:sz w:val="24"/>
          <w:highlight w:val="none"/>
        </w:rPr>
        <w:t>21、</w:t>
      </w:r>
      <w:r>
        <w:rPr>
          <w:rFonts w:hint="eastAsia" w:ascii="仿宋" w:hAnsi="仿宋" w:eastAsia="仿宋" w:cs="仿宋"/>
          <w:color w:val="auto"/>
          <w:kern w:val="0"/>
          <w:sz w:val="24"/>
          <w:highlight w:val="none"/>
        </w:rPr>
        <w:t>供应商应明确本</w:t>
      </w:r>
      <w:r>
        <w:rPr>
          <w:rFonts w:hint="eastAsia" w:ascii="仿宋" w:hAnsi="仿宋" w:eastAsia="仿宋" w:cs="仿宋"/>
          <w:snapToGrid w:val="0"/>
          <w:color w:val="auto"/>
          <w:kern w:val="0"/>
          <w:sz w:val="24"/>
          <w:highlight w:val="none"/>
        </w:rPr>
        <w:t>项目的管理组织结构，管理人员专业匹配，且配备五大员（施工员、质检员、安全员、材料员）。</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20、项目施工期间管理要求：</w:t>
      </w:r>
    </w:p>
    <w:p>
      <w:pPr>
        <w:snapToGrid w:val="0"/>
        <w:spacing w:line="360" w:lineRule="auto"/>
        <w:ind w:firstLine="600" w:firstLineChars="250"/>
        <w:rPr>
          <w:rFonts w:ascii="仿宋" w:hAnsi="仿宋" w:eastAsia="仿宋" w:cs="仿宋"/>
          <w:color w:val="auto"/>
          <w:sz w:val="24"/>
          <w:highlight w:val="none"/>
        </w:rPr>
      </w:pPr>
      <w:r>
        <w:rPr>
          <w:rFonts w:hint="eastAsia" w:ascii="仿宋" w:hAnsi="仿宋" w:eastAsia="仿宋" w:cs="仿宋"/>
          <w:color w:val="auto"/>
          <w:sz w:val="24"/>
          <w:highlight w:val="none"/>
        </w:rPr>
        <w:t>①施工人员进场前需进行核酸检测，符合项目实施地关于疫情防控的相关要求，施工人员如需更换，需报采购人书面审批。</w:t>
      </w:r>
    </w:p>
    <w:p>
      <w:pPr>
        <w:snapToGrid w:val="0"/>
        <w:spacing w:line="360" w:lineRule="auto"/>
        <w:ind w:firstLine="600" w:firstLineChars="250"/>
        <w:rPr>
          <w:rFonts w:ascii="仿宋" w:hAnsi="仿宋" w:eastAsia="仿宋" w:cs="仿宋"/>
          <w:color w:val="auto"/>
          <w:sz w:val="24"/>
          <w:highlight w:val="none"/>
        </w:rPr>
      </w:pPr>
      <w:r>
        <w:rPr>
          <w:rFonts w:hint="eastAsia" w:ascii="仿宋" w:hAnsi="仿宋" w:eastAsia="仿宋" w:cs="仿宋"/>
          <w:color w:val="auto"/>
          <w:sz w:val="24"/>
          <w:highlight w:val="none"/>
        </w:rPr>
        <w:t>②施工场地内，工具随人走，不可遗留在施工现场。</w:t>
      </w:r>
    </w:p>
    <w:p>
      <w:pPr>
        <w:snapToGrid w:val="0"/>
        <w:spacing w:line="360" w:lineRule="auto"/>
        <w:ind w:firstLine="600" w:firstLineChars="250"/>
        <w:rPr>
          <w:rFonts w:ascii="仿宋" w:hAnsi="仿宋" w:eastAsia="仿宋" w:cs="仿宋"/>
          <w:color w:val="auto"/>
          <w:sz w:val="24"/>
          <w:highlight w:val="none"/>
        </w:rPr>
      </w:pPr>
      <w:r>
        <w:rPr>
          <w:rFonts w:hint="eastAsia" w:ascii="仿宋" w:hAnsi="仿宋" w:eastAsia="仿宋" w:cs="仿宋"/>
          <w:color w:val="auto"/>
          <w:sz w:val="24"/>
          <w:highlight w:val="none"/>
        </w:rPr>
        <w:t>③施工所需材料，按指定地点摆放。</w:t>
      </w:r>
    </w:p>
    <w:p>
      <w:pPr>
        <w:snapToGrid w:val="0"/>
        <w:spacing w:line="360" w:lineRule="auto"/>
        <w:ind w:firstLine="600" w:firstLineChars="250"/>
        <w:rPr>
          <w:rFonts w:ascii="仿宋" w:hAnsi="仿宋" w:eastAsia="仿宋" w:cs="仿宋"/>
          <w:color w:val="auto"/>
          <w:sz w:val="24"/>
          <w:highlight w:val="none"/>
        </w:rPr>
      </w:pPr>
      <w:r>
        <w:rPr>
          <w:rFonts w:hint="eastAsia" w:ascii="仿宋" w:hAnsi="仿宋" w:eastAsia="仿宋" w:cs="仿宋"/>
          <w:color w:val="auto"/>
          <w:sz w:val="24"/>
          <w:highlight w:val="none"/>
        </w:rPr>
        <w:t>④施工中进场车辆，必须熄火且及时拔出钥匙。</w:t>
      </w:r>
    </w:p>
    <w:p>
      <w:pPr>
        <w:snapToGrid w:val="0"/>
        <w:spacing w:line="360" w:lineRule="auto"/>
        <w:ind w:firstLine="600" w:firstLineChars="250"/>
        <w:rPr>
          <w:rFonts w:ascii="仿宋" w:hAnsi="仿宋" w:eastAsia="仿宋" w:cs="仿宋"/>
          <w:color w:val="auto"/>
          <w:sz w:val="24"/>
          <w:highlight w:val="none"/>
        </w:rPr>
      </w:pPr>
      <w:r>
        <w:rPr>
          <w:rFonts w:hint="eastAsia" w:ascii="仿宋" w:hAnsi="仿宋" w:eastAsia="仿宋" w:cs="仿宋"/>
          <w:color w:val="auto"/>
          <w:sz w:val="24"/>
          <w:highlight w:val="none"/>
        </w:rPr>
        <w:t>⑤施工作业人员应当服从现场人员管理，每日施工作业完毕对现场卫生进行及时清理。</w:t>
      </w:r>
    </w:p>
    <w:p>
      <w:pPr>
        <w:snapToGrid w:val="0"/>
        <w:spacing w:line="360" w:lineRule="auto"/>
        <w:ind w:firstLine="600" w:firstLineChars="250"/>
        <w:rPr>
          <w:rFonts w:ascii="仿宋" w:hAnsi="仿宋" w:eastAsia="仿宋" w:cs="仿宋"/>
          <w:color w:val="auto"/>
          <w:sz w:val="24"/>
          <w:highlight w:val="none"/>
        </w:rPr>
      </w:pPr>
      <w:r>
        <w:rPr>
          <w:rFonts w:hint="eastAsia" w:ascii="仿宋" w:hAnsi="仿宋" w:eastAsia="仿宋" w:cs="仿宋"/>
          <w:color w:val="auto"/>
          <w:sz w:val="24"/>
          <w:highlight w:val="none"/>
        </w:rPr>
        <w:t>⑥为保障医疗工作有序进行，有噪声的工作必须安排在上午7时-8时，晚间17时-20时。请投标供应商合理考虑施工及人员成本，在报价中综合考虑。</w:t>
      </w:r>
    </w:p>
    <w:p>
      <w:pPr>
        <w:snapToGrid w:val="0"/>
        <w:spacing w:line="360" w:lineRule="auto"/>
        <w:ind w:firstLine="482" w:firstLineChars="200"/>
        <w:rPr>
          <w:rFonts w:ascii="仿宋" w:hAnsi="仿宋" w:eastAsia="仿宋" w:cs="仿宋"/>
          <w:b/>
          <w:bCs/>
          <w:color w:val="auto"/>
          <w:kern w:val="0"/>
          <w:sz w:val="24"/>
          <w:highlight w:val="none"/>
        </w:rPr>
      </w:pPr>
    </w:p>
    <w:p>
      <w:pPr>
        <w:snapToGrid w:val="0"/>
        <w:spacing w:line="360" w:lineRule="auto"/>
        <w:ind w:firstLine="482" w:firstLineChars="200"/>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三、项目主要设备、材料要求</w:t>
      </w:r>
    </w:p>
    <w:p>
      <w:pPr>
        <w:snapToGrid w:val="0"/>
        <w:spacing w:line="360" w:lineRule="auto"/>
        <w:ind w:firstLine="600" w:firstLineChars="250"/>
        <w:rPr>
          <w:rFonts w:ascii="仿宋" w:hAnsi="仿宋" w:eastAsia="仿宋" w:cs="仿宋"/>
          <w:color w:val="auto"/>
          <w:sz w:val="24"/>
          <w:highlight w:val="none"/>
        </w:rPr>
      </w:pPr>
      <w:r>
        <w:rPr>
          <w:rFonts w:hint="eastAsia" w:ascii="仿宋" w:hAnsi="仿宋" w:eastAsia="仿宋" w:cs="仿宋"/>
          <w:color w:val="auto"/>
          <w:sz w:val="24"/>
          <w:highlight w:val="none"/>
        </w:rPr>
        <w:t>本项目各项由供应商提供的材料，必须是符合国家现行质量标准和环保要求的材料，相关材料采用中档以上材质、品牌，在采购前报采购人、监理确认。供应商根据工期需要制定科学可行的材料供应计划，确保施工过程不受材料供应的影响。为了保证材料的及时到场，要做好计划的提前报送。</w:t>
      </w:r>
    </w:p>
    <w:p>
      <w:pPr>
        <w:snapToGrid w:val="0"/>
        <w:spacing w:line="360" w:lineRule="auto"/>
        <w:ind w:firstLine="600" w:firstLineChars="250"/>
        <w:rPr>
          <w:rFonts w:ascii="仿宋" w:hAnsi="仿宋" w:eastAsia="仿宋" w:cs="仿宋"/>
          <w:color w:val="auto"/>
          <w:sz w:val="24"/>
          <w:highlight w:val="none"/>
        </w:rPr>
      </w:pPr>
      <w:r>
        <w:rPr>
          <w:rFonts w:hint="eastAsia" w:ascii="仿宋" w:hAnsi="仿宋" w:eastAsia="仿宋" w:cs="仿宋"/>
          <w:color w:val="auto"/>
          <w:sz w:val="24"/>
          <w:highlight w:val="none"/>
        </w:rPr>
        <w:t>磋商供应商应按“主要材料（设备）推荐品牌”要求磋商报价，并在工程量清单报价“表1-6主要材料价格表”的备注一栏里明确品牌、规格、型号、单位、单价等。如磋商供应商没有按竞争性磋商文件要求进行选择，或没有明确注明，或所选材料设备的材质、规格、档次与竞争性磋商文件要求的存在明显差别，或虽按竞争性磋商文件推荐的材料品牌选择但该材料因某种原因停产或其他原因而不能供应的，或虽注明品牌未注明型号、规格的，则实际施工过程中采购人有权在竞争性磋商文件推荐的材料品牌范围内自行确定品牌和规格，且磋商价格不予 调整。</w:t>
      </w:r>
    </w:p>
    <w:p>
      <w:pPr>
        <w:snapToGrid w:val="0"/>
        <w:spacing w:line="360" w:lineRule="auto"/>
        <w:ind w:firstLine="602" w:firstLineChars="250"/>
        <w:rPr>
          <w:rFonts w:ascii="仿宋" w:hAnsi="仿宋" w:eastAsia="仿宋" w:cs="仿宋"/>
          <w:b/>
          <w:bCs/>
          <w:color w:val="auto"/>
          <w:sz w:val="24"/>
          <w:highlight w:val="none"/>
        </w:rPr>
      </w:pPr>
      <w:r>
        <w:rPr>
          <w:rFonts w:hint="eastAsia" w:ascii="仿宋" w:hAnsi="仿宋" w:eastAsia="仿宋" w:cs="仿宋"/>
          <w:b/>
          <w:bCs/>
          <w:color w:val="auto"/>
          <w:sz w:val="24"/>
          <w:highlight w:val="none"/>
        </w:rPr>
        <w:t>主要材料品牌推荐表</w:t>
      </w:r>
    </w:p>
    <w:tbl>
      <w:tblPr>
        <w:tblStyle w:val="63"/>
        <w:tblW w:w="9942" w:type="dxa"/>
        <w:jc w:val="center"/>
        <w:tblLayout w:type="fixed"/>
        <w:tblCellMar>
          <w:top w:w="0" w:type="dxa"/>
          <w:left w:w="108" w:type="dxa"/>
          <w:bottom w:w="0" w:type="dxa"/>
          <w:right w:w="108" w:type="dxa"/>
        </w:tblCellMar>
      </w:tblPr>
      <w:tblGrid>
        <w:gridCol w:w="766"/>
        <w:gridCol w:w="1176"/>
        <w:gridCol w:w="1968"/>
        <w:gridCol w:w="3876"/>
        <w:gridCol w:w="2156"/>
      </w:tblGrid>
      <w:tr>
        <w:tblPrEx>
          <w:tblCellMar>
            <w:top w:w="0" w:type="dxa"/>
            <w:left w:w="108" w:type="dxa"/>
            <w:bottom w:w="0" w:type="dxa"/>
            <w:right w:w="108" w:type="dxa"/>
          </w:tblCellMar>
        </w:tblPrEx>
        <w:trPr>
          <w:trHeight w:val="471" w:hRule="atLeast"/>
          <w:jc w:val="center"/>
        </w:trPr>
        <w:tc>
          <w:tcPr>
            <w:tcW w:w="76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序号</w:t>
            </w:r>
          </w:p>
        </w:tc>
        <w:tc>
          <w:tcPr>
            <w:tcW w:w="314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材料名称</w:t>
            </w:r>
          </w:p>
        </w:tc>
        <w:tc>
          <w:tcPr>
            <w:tcW w:w="387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备选品牌或厂家</w:t>
            </w:r>
          </w:p>
        </w:tc>
        <w:tc>
          <w:tcPr>
            <w:tcW w:w="215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备注</w:t>
            </w:r>
          </w:p>
        </w:tc>
      </w:tr>
      <w:tr>
        <w:tblPrEx>
          <w:tblCellMar>
            <w:top w:w="0" w:type="dxa"/>
            <w:left w:w="108" w:type="dxa"/>
            <w:bottom w:w="0" w:type="dxa"/>
            <w:right w:w="108" w:type="dxa"/>
          </w:tblCellMar>
        </w:tblPrEx>
        <w:trPr>
          <w:trHeight w:val="471" w:hRule="atLeast"/>
          <w:jc w:val="center"/>
        </w:trPr>
        <w:tc>
          <w:tcPr>
            <w:tcW w:w="76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1</w:t>
            </w:r>
          </w:p>
        </w:tc>
        <w:tc>
          <w:tcPr>
            <w:tcW w:w="314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auto"/>
                <w:sz w:val="24"/>
                <w:highlight w:val="none"/>
              </w:rPr>
            </w:pPr>
            <w:r>
              <w:rPr>
                <w:rFonts w:hint="eastAsia" w:ascii="仿宋" w:hAnsi="仿宋" w:eastAsia="仿宋" w:cs="仿宋"/>
                <w:color w:val="auto"/>
                <w:kern w:val="0"/>
                <w:sz w:val="24"/>
                <w:highlight w:val="none"/>
                <w:lang w:bidi="ar"/>
              </w:rPr>
              <w:t>消防报警产品及成套设备</w:t>
            </w:r>
          </w:p>
        </w:tc>
        <w:tc>
          <w:tcPr>
            <w:tcW w:w="38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上海松江（云安）、秦皇岛海湾、北京利达、北大青鸟或相当于</w:t>
            </w:r>
          </w:p>
        </w:tc>
        <w:tc>
          <w:tcPr>
            <w:tcW w:w="215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p>
        </w:tc>
      </w:tr>
      <w:tr>
        <w:tblPrEx>
          <w:tblCellMar>
            <w:top w:w="0" w:type="dxa"/>
            <w:left w:w="108" w:type="dxa"/>
            <w:bottom w:w="0" w:type="dxa"/>
            <w:right w:w="108" w:type="dxa"/>
          </w:tblCellMar>
        </w:tblPrEx>
        <w:trPr>
          <w:trHeight w:val="1127" w:hRule="atLeast"/>
          <w:jc w:val="center"/>
        </w:trPr>
        <w:tc>
          <w:tcPr>
            <w:tcW w:w="76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2</w:t>
            </w:r>
          </w:p>
        </w:tc>
        <w:tc>
          <w:tcPr>
            <w:tcW w:w="314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auto"/>
                <w:sz w:val="24"/>
                <w:highlight w:val="none"/>
              </w:rPr>
            </w:pPr>
            <w:r>
              <w:rPr>
                <w:rFonts w:hint="eastAsia" w:ascii="仿宋" w:hAnsi="仿宋" w:eastAsia="仿宋" w:cs="仿宋"/>
                <w:color w:val="auto"/>
                <w:kern w:val="0"/>
                <w:sz w:val="24"/>
                <w:highlight w:val="none"/>
                <w:lang w:bidi="ar"/>
              </w:rPr>
              <w:t>配电箱、配电柜（含元器件）</w:t>
            </w:r>
          </w:p>
        </w:tc>
        <w:tc>
          <w:tcPr>
            <w:tcW w:w="38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浙江金盾电器有限公司、杭州杭开电气、浙江德力西电气(计量及其它元器件采用ABB、SCHNEIDER、SIEMENS)或或相当于</w:t>
            </w:r>
          </w:p>
        </w:tc>
        <w:tc>
          <w:tcPr>
            <w:tcW w:w="215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p>
        </w:tc>
      </w:tr>
      <w:tr>
        <w:tblPrEx>
          <w:tblCellMar>
            <w:top w:w="0" w:type="dxa"/>
            <w:left w:w="108" w:type="dxa"/>
            <w:bottom w:w="0" w:type="dxa"/>
            <w:right w:w="108" w:type="dxa"/>
          </w:tblCellMar>
        </w:tblPrEx>
        <w:trPr>
          <w:trHeight w:val="471" w:hRule="atLeast"/>
          <w:jc w:val="center"/>
        </w:trPr>
        <w:tc>
          <w:tcPr>
            <w:tcW w:w="76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3</w:t>
            </w:r>
          </w:p>
        </w:tc>
        <w:tc>
          <w:tcPr>
            <w:tcW w:w="314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auto"/>
                <w:sz w:val="24"/>
                <w:highlight w:val="none"/>
              </w:rPr>
            </w:pPr>
            <w:r>
              <w:rPr>
                <w:rFonts w:hint="eastAsia" w:ascii="仿宋" w:hAnsi="仿宋" w:eastAsia="仿宋" w:cs="仿宋"/>
                <w:color w:val="auto"/>
                <w:kern w:val="0"/>
                <w:sz w:val="24"/>
                <w:highlight w:val="none"/>
                <w:lang w:bidi="ar"/>
              </w:rPr>
              <w:t>桥架（含防火桥架）、金属线槽、母线槽</w:t>
            </w:r>
          </w:p>
        </w:tc>
        <w:tc>
          <w:tcPr>
            <w:tcW w:w="38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之江远大、江苏华鹏、江苏华鼎、恒光、浩翔或相当于</w:t>
            </w:r>
          </w:p>
        </w:tc>
        <w:tc>
          <w:tcPr>
            <w:tcW w:w="215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p>
        </w:tc>
      </w:tr>
      <w:tr>
        <w:tblPrEx>
          <w:tblCellMar>
            <w:top w:w="0" w:type="dxa"/>
            <w:left w:w="108" w:type="dxa"/>
            <w:bottom w:w="0" w:type="dxa"/>
            <w:right w:w="108" w:type="dxa"/>
          </w:tblCellMar>
        </w:tblPrEx>
        <w:trPr>
          <w:trHeight w:val="471" w:hRule="atLeast"/>
          <w:jc w:val="center"/>
        </w:trPr>
        <w:tc>
          <w:tcPr>
            <w:tcW w:w="76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4</w:t>
            </w:r>
          </w:p>
        </w:tc>
        <w:tc>
          <w:tcPr>
            <w:tcW w:w="314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auto"/>
                <w:sz w:val="24"/>
                <w:highlight w:val="none"/>
              </w:rPr>
            </w:pPr>
            <w:r>
              <w:rPr>
                <w:rFonts w:hint="eastAsia" w:ascii="仿宋" w:hAnsi="仿宋" w:eastAsia="仿宋" w:cs="仿宋"/>
                <w:color w:val="auto"/>
                <w:kern w:val="0"/>
                <w:sz w:val="24"/>
                <w:highlight w:val="none"/>
                <w:lang w:bidi="ar"/>
              </w:rPr>
              <w:t>灯具（含LED光源）</w:t>
            </w:r>
          </w:p>
        </w:tc>
        <w:tc>
          <w:tcPr>
            <w:tcW w:w="38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三雄极光、雷士、飞利浦或相当于</w:t>
            </w:r>
          </w:p>
        </w:tc>
        <w:tc>
          <w:tcPr>
            <w:tcW w:w="215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各类型号灯具需由建设单位选型确认</w:t>
            </w:r>
          </w:p>
        </w:tc>
      </w:tr>
      <w:tr>
        <w:tblPrEx>
          <w:tblCellMar>
            <w:top w:w="0" w:type="dxa"/>
            <w:left w:w="108" w:type="dxa"/>
            <w:bottom w:w="0" w:type="dxa"/>
            <w:right w:w="108" w:type="dxa"/>
          </w:tblCellMar>
        </w:tblPrEx>
        <w:trPr>
          <w:trHeight w:val="471" w:hRule="atLeast"/>
          <w:jc w:val="center"/>
        </w:trPr>
        <w:tc>
          <w:tcPr>
            <w:tcW w:w="76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5</w:t>
            </w:r>
          </w:p>
        </w:tc>
        <w:tc>
          <w:tcPr>
            <w:tcW w:w="314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auto"/>
                <w:sz w:val="24"/>
                <w:highlight w:val="none"/>
              </w:rPr>
            </w:pPr>
            <w:r>
              <w:rPr>
                <w:rFonts w:hint="eastAsia" w:ascii="仿宋" w:hAnsi="仿宋" w:eastAsia="仿宋" w:cs="仿宋"/>
                <w:color w:val="auto"/>
                <w:kern w:val="0"/>
                <w:sz w:val="24"/>
                <w:highlight w:val="none"/>
                <w:lang w:bidi="ar"/>
              </w:rPr>
              <w:t>开关</w:t>
            </w:r>
          </w:p>
        </w:tc>
        <w:tc>
          <w:tcPr>
            <w:tcW w:w="38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罗格朗（仕典）、施耐德（莹润）、西门子（远景）或相当于</w:t>
            </w:r>
          </w:p>
        </w:tc>
        <w:tc>
          <w:tcPr>
            <w:tcW w:w="215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单联、双联、三联开关等，开关采用大翘板式</w:t>
            </w:r>
          </w:p>
        </w:tc>
      </w:tr>
      <w:tr>
        <w:tblPrEx>
          <w:tblCellMar>
            <w:top w:w="0" w:type="dxa"/>
            <w:left w:w="108" w:type="dxa"/>
            <w:bottom w:w="0" w:type="dxa"/>
            <w:right w:w="108" w:type="dxa"/>
          </w:tblCellMar>
        </w:tblPrEx>
        <w:trPr>
          <w:trHeight w:val="471" w:hRule="atLeast"/>
          <w:jc w:val="center"/>
        </w:trPr>
        <w:tc>
          <w:tcPr>
            <w:tcW w:w="76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6</w:t>
            </w:r>
          </w:p>
        </w:tc>
        <w:tc>
          <w:tcPr>
            <w:tcW w:w="314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auto"/>
                <w:sz w:val="24"/>
                <w:highlight w:val="none"/>
              </w:rPr>
            </w:pPr>
            <w:r>
              <w:rPr>
                <w:rFonts w:hint="eastAsia" w:ascii="仿宋" w:hAnsi="仿宋" w:eastAsia="仿宋" w:cs="仿宋"/>
                <w:color w:val="auto"/>
                <w:kern w:val="0"/>
                <w:sz w:val="24"/>
                <w:highlight w:val="none"/>
                <w:lang w:bidi="ar"/>
              </w:rPr>
              <w:t>插座</w:t>
            </w:r>
          </w:p>
        </w:tc>
        <w:tc>
          <w:tcPr>
            <w:tcW w:w="38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罗格朗（仕典）、施耐德（莹润）、西门子（远景）或相当于</w:t>
            </w:r>
          </w:p>
        </w:tc>
        <w:tc>
          <w:tcPr>
            <w:tcW w:w="215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五孔错位插座、三孔普通插座、防水插座、空调插座</w:t>
            </w:r>
          </w:p>
        </w:tc>
      </w:tr>
      <w:tr>
        <w:tblPrEx>
          <w:tblCellMar>
            <w:top w:w="0" w:type="dxa"/>
            <w:left w:w="108" w:type="dxa"/>
            <w:bottom w:w="0" w:type="dxa"/>
            <w:right w:w="108" w:type="dxa"/>
          </w:tblCellMar>
        </w:tblPrEx>
        <w:trPr>
          <w:trHeight w:val="471" w:hRule="atLeast"/>
          <w:jc w:val="center"/>
        </w:trPr>
        <w:tc>
          <w:tcPr>
            <w:tcW w:w="76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7</w:t>
            </w:r>
          </w:p>
        </w:tc>
        <w:tc>
          <w:tcPr>
            <w:tcW w:w="314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auto"/>
                <w:sz w:val="24"/>
                <w:highlight w:val="none"/>
              </w:rPr>
            </w:pPr>
            <w:r>
              <w:rPr>
                <w:rFonts w:hint="eastAsia" w:ascii="仿宋" w:hAnsi="仿宋" w:eastAsia="仿宋" w:cs="仿宋"/>
                <w:color w:val="auto"/>
                <w:kern w:val="0"/>
                <w:sz w:val="24"/>
                <w:highlight w:val="none"/>
                <w:lang w:bidi="ar"/>
              </w:rPr>
              <w:t>UPVC电线管(含配套各类管件)</w:t>
            </w:r>
          </w:p>
        </w:tc>
        <w:tc>
          <w:tcPr>
            <w:tcW w:w="38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亿通、中财、公元、伟星或相当于</w:t>
            </w:r>
          </w:p>
        </w:tc>
        <w:tc>
          <w:tcPr>
            <w:tcW w:w="215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p>
        </w:tc>
      </w:tr>
      <w:tr>
        <w:tblPrEx>
          <w:tblCellMar>
            <w:top w:w="0" w:type="dxa"/>
            <w:left w:w="108" w:type="dxa"/>
            <w:bottom w:w="0" w:type="dxa"/>
            <w:right w:w="108" w:type="dxa"/>
          </w:tblCellMar>
        </w:tblPrEx>
        <w:trPr>
          <w:trHeight w:val="471" w:hRule="atLeast"/>
          <w:jc w:val="center"/>
        </w:trPr>
        <w:tc>
          <w:tcPr>
            <w:tcW w:w="76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8</w:t>
            </w:r>
          </w:p>
        </w:tc>
        <w:tc>
          <w:tcPr>
            <w:tcW w:w="314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auto"/>
                <w:sz w:val="24"/>
                <w:highlight w:val="none"/>
              </w:rPr>
            </w:pPr>
            <w:r>
              <w:rPr>
                <w:rFonts w:hint="eastAsia" w:ascii="仿宋" w:hAnsi="仿宋" w:eastAsia="仿宋" w:cs="仿宋"/>
                <w:color w:val="auto"/>
                <w:kern w:val="0"/>
                <w:sz w:val="24"/>
                <w:highlight w:val="none"/>
                <w:lang w:bidi="ar"/>
              </w:rPr>
              <w:t>电线、电缆</w:t>
            </w:r>
          </w:p>
        </w:tc>
        <w:tc>
          <w:tcPr>
            <w:tcW w:w="38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浙江中策、浙江万马、江苏上上或相当于</w:t>
            </w:r>
          </w:p>
        </w:tc>
        <w:tc>
          <w:tcPr>
            <w:tcW w:w="215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p>
        </w:tc>
      </w:tr>
      <w:tr>
        <w:tblPrEx>
          <w:tblCellMar>
            <w:top w:w="0" w:type="dxa"/>
            <w:left w:w="108" w:type="dxa"/>
            <w:bottom w:w="0" w:type="dxa"/>
            <w:right w:w="108" w:type="dxa"/>
          </w:tblCellMar>
        </w:tblPrEx>
        <w:trPr>
          <w:trHeight w:val="471" w:hRule="atLeast"/>
          <w:jc w:val="center"/>
        </w:trPr>
        <w:tc>
          <w:tcPr>
            <w:tcW w:w="76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9</w:t>
            </w:r>
          </w:p>
        </w:tc>
        <w:tc>
          <w:tcPr>
            <w:tcW w:w="314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auto"/>
                <w:sz w:val="24"/>
                <w:highlight w:val="none"/>
              </w:rPr>
            </w:pPr>
            <w:r>
              <w:rPr>
                <w:rFonts w:hint="eastAsia" w:ascii="仿宋" w:hAnsi="仿宋" w:eastAsia="仿宋" w:cs="仿宋"/>
                <w:color w:val="auto"/>
                <w:kern w:val="0"/>
                <w:sz w:val="24"/>
                <w:highlight w:val="none"/>
                <w:lang w:bidi="ar"/>
              </w:rPr>
              <w:t>镀锌管</w:t>
            </w:r>
          </w:p>
        </w:tc>
        <w:tc>
          <w:tcPr>
            <w:tcW w:w="38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湖州金洲、上海劳动、华岐或相当于</w:t>
            </w:r>
          </w:p>
        </w:tc>
        <w:tc>
          <w:tcPr>
            <w:tcW w:w="215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消防管、喷淋管、压力排水管</w:t>
            </w:r>
          </w:p>
        </w:tc>
      </w:tr>
      <w:tr>
        <w:tblPrEx>
          <w:tblCellMar>
            <w:top w:w="0" w:type="dxa"/>
            <w:left w:w="108" w:type="dxa"/>
            <w:bottom w:w="0" w:type="dxa"/>
            <w:right w:w="108" w:type="dxa"/>
          </w:tblCellMar>
        </w:tblPrEx>
        <w:trPr>
          <w:trHeight w:val="471" w:hRule="atLeast"/>
          <w:jc w:val="center"/>
        </w:trPr>
        <w:tc>
          <w:tcPr>
            <w:tcW w:w="76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10</w:t>
            </w:r>
          </w:p>
        </w:tc>
        <w:tc>
          <w:tcPr>
            <w:tcW w:w="314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auto"/>
                <w:sz w:val="24"/>
                <w:highlight w:val="none"/>
              </w:rPr>
            </w:pPr>
            <w:r>
              <w:rPr>
                <w:rFonts w:hint="eastAsia" w:ascii="仿宋" w:hAnsi="仿宋" w:eastAsia="仿宋" w:cs="仿宋"/>
                <w:color w:val="auto"/>
                <w:kern w:val="0"/>
                <w:sz w:val="24"/>
                <w:highlight w:val="none"/>
                <w:lang w:bidi="ar"/>
              </w:rPr>
              <w:t>PPR给水管、UPVC排（雨）水管(含管件)</w:t>
            </w:r>
          </w:p>
        </w:tc>
        <w:tc>
          <w:tcPr>
            <w:tcW w:w="38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中财、亿通、公元、伟星或相当于</w:t>
            </w:r>
          </w:p>
        </w:tc>
        <w:tc>
          <w:tcPr>
            <w:tcW w:w="215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p>
        </w:tc>
      </w:tr>
      <w:tr>
        <w:tblPrEx>
          <w:tblCellMar>
            <w:top w:w="0" w:type="dxa"/>
            <w:left w:w="108" w:type="dxa"/>
            <w:bottom w:w="0" w:type="dxa"/>
            <w:right w:w="108" w:type="dxa"/>
          </w:tblCellMar>
        </w:tblPrEx>
        <w:trPr>
          <w:trHeight w:val="471" w:hRule="atLeast"/>
          <w:jc w:val="center"/>
        </w:trPr>
        <w:tc>
          <w:tcPr>
            <w:tcW w:w="76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11</w:t>
            </w:r>
          </w:p>
        </w:tc>
        <w:tc>
          <w:tcPr>
            <w:tcW w:w="314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auto"/>
                <w:sz w:val="24"/>
                <w:highlight w:val="none"/>
              </w:rPr>
            </w:pPr>
            <w:r>
              <w:rPr>
                <w:rFonts w:hint="eastAsia" w:ascii="仿宋" w:hAnsi="仿宋" w:eastAsia="仿宋" w:cs="仿宋"/>
                <w:color w:val="auto"/>
                <w:kern w:val="0"/>
                <w:sz w:val="24"/>
                <w:highlight w:val="none"/>
                <w:lang w:bidi="ar"/>
              </w:rPr>
              <w:t>薄壁不锈钢管（含专用连接配件）</w:t>
            </w:r>
          </w:p>
        </w:tc>
        <w:tc>
          <w:tcPr>
            <w:tcW w:w="38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成都共同、无锡金羊、维家或相当于</w:t>
            </w:r>
          </w:p>
        </w:tc>
        <w:tc>
          <w:tcPr>
            <w:tcW w:w="215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卡压连接方式</w:t>
            </w:r>
          </w:p>
        </w:tc>
      </w:tr>
      <w:tr>
        <w:tblPrEx>
          <w:tblCellMar>
            <w:top w:w="0" w:type="dxa"/>
            <w:left w:w="108" w:type="dxa"/>
            <w:bottom w:w="0" w:type="dxa"/>
            <w:right w:w="108" w:type="dxa"/>
          </w:tblCellMar>
        </w:tblPrEx>
        <w:trPr>
          <w:trHeight w:val="471" w:hRule="atLeast"/>
          <w:jc w:val="center"/>
        </w:trPr>
        <w:tc>
          <w:tcPr>
            <w:tcW w:w="76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12</w:t>
            </w:r>
          </w:p>
        </w:tc>
        <w:tc>
          <w:tcPr>
            <w:tcW w:w="314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auto"/>
                <w:sz w:val="24"/>
                <w:highlight w:val="none"/>
              </w:rPr>
            </w:pPr>
            <w:r>
              <w:rPr>
                <w:rFonts w:hint="eastAsia" w:ascii="仿宋" w:hAnsi="仿宋" w:eastAsia="仿宋" w:cs="仿宋"/>
                <w:color w:val="auto"/>
                <w:kern w:val="0"/>
                <w:sz w:val="24"/>
                <w:highlight w:val="none"/>
                <w:lang w:bidi="ar"/>
              </w:rPr>
              <w:t>新风机、轴流风机</w:t>
            </w:r>
          </w:p>
        </w:tc>
        <w:tc>
          <w:tcPr>
            <w:tcW w:w="38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浙江上风、浙江明新、天加相当于</w:t>
            </w:r>
          </w:p>
        </w:tc>
        <w:tc>
          <w:tcPr>
            <w:tcW w:w="215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p>
        </w:tc>
      </w:tr>
      <w:tr>
        <w:tblPrEx>
          <w:tblCellMar>
            <w:top w:w="0" w:type="dxa"/>
            <w:left w:w="108" w:type="dxa"/>
            <w:bottom w:w="0" w:type="dxa"/>
            <w:right w:w="108" w:type="dxa"/>
          </w:tblCellMar>
        </w:tblPrEx>
        <w:trPr>
          <w:trHeight w:val="471" w:hRule="atLeast"/>
          <w:jc w:val="center"/>
        </w:trPr>
        <w:tc>
          <w:tcPr>
            <w:tcW w:w="76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13</w:t>
            </w:r>
          </w:p>
        </w:tc>
        <w:tc>
          <w:tcPr>
            <w:tcW w:w="314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auto"/>
                <w:sz w:val="24"/>
                <w:highlight w:val="none"/>
              </w:rPr>
            </w:pPr>
            <w:r>
              <w:rPr>
                <w:rFonts w:hint="eastAsia" w:ascii="仿宋" w:hAnsi="仿宋" w:eastAsia="仿宋" w:cs="仿宋"/>
                <w:color w:val="auto"/>
                <w:kern w:val="0"/>
                <w:sz w:val="24"/>
                <w:highlight w:val="none"/>
                <w:lang w:bidi="ar"/>
              </w:rPr>
              <w:t>盘管风机</w:t>
            </w:r>
          </w:p>
        </w:tc>
        <w:tc>
          <w:tcPr>
            <w:tcW w:w="38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特灵、约克、开利、麦克维尔或相当于</w:t>
            </w:r>
          </w:p>
        </w:tc>
        <w:tc>
          <w:tcPr>
            <w:tcW w:w="215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p>
        </w:tc>
      </w:tr>
      <w:tr>
        <w:tblPrEx>
          <w:tblCellMar>
            <w:top w:w="0" w:type="dxa"/>
            <w:left w:w="108" w:type="dxa"/>
            <w:bottom w:w="0" w:type="dxa"/>
            <w:right w:w="108" w:type="dxa"/>
          </w:tblCellMar>
        </w:tblPrEx>
        <w:trPr>
          <w:trHeight w:val="471" w:hRule="atLeast"/>
          <w:jc w:val="center"/>
        </w:trPr>
        <w:tc>
          <w:tcPr>
            <w:tcW w:w="76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14</w:t>
            </w:r>
          </w:p>
        </w:tc>
        <w:tc>
          <w:tcPr>
            <w:tcW w:w="314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auto"/>
                <w:sz w:val="24"/>
                <w:highlight w:val="none"/>
              </w:rPr>
            </w:pPr>
            <w:r>
              <w:rPr>
                <w:rFonts w:hint="eastAsia" w:ascii="仿宋" w:hAnsi="仿宋" w:eastAsia="仿宋" w:cs="仿宋"/>
                <w:color w:val="auto"/>
                <w:kern w:val="0"/>
                <w:sz w:val="24"/>
                <w:highlight w:val="none"/>
                <w:lang w:bidi="ar"/>
              </w:rPr>
              <w:t>防火阀、通风风口、通风风阀</w:t>
            </w:r>
          </w:p>
        </w:tc>
        <w:tc>
          <w:tcPr>
            <w:tcW w:w="38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杭州金盾、杭州恒通、上海威士文、宁波金刚或相当于</w:t>
            </w:r>
          </w:p>
        </w:tc>
        <w:tc>
          <w:tcPr>
            <w:tcW w:w="215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p>
        </w:tc>
      </w:tr>
      <w:tr>
        <w:tblPrEx>
          <w:tblCellMar>
            <w:top w:w="0" w:type="dxa"/>
            <w:left w:w="108" w:type="dxa"/>
            <w:bottom w:w="0" w:type="dxa"/>
            <w:right w:w="108" w:type="dxa"/>
          </w:tblCellMar>
        </w:tblPrEx>
        <w:trPr>
          <w:trHeight w:val="471" w:hRule="atLeast"/>
          <w:jc w:val="center"/>
        </w:trPr>
        <w:tc>
          <w:tcPr>
            <w:tcW w:w="76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15</w:t>
            </w:r>
          </w:p>
        </w:tc>
        <w:tc>
          <w:tcPr>
            <w:tcW w:w="314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auto"/>
                <w:sz w:val="24"/>
                <w:highlight w:val="none"/>
              </w:rPr>
            </w:pPr>
            <w:r>
              <w:rPr>
                <w:rFonts w:hint="eastAsia" w:ascii="仿宋" w:hAnsi="仿宋" w:eastAsia="仿宋" w:cs="仿宋"/>
                <w:color w:val="auto"/>
                <w:kern w:val="0"/>
                <w:sz w:val="24"/>
                <w:highlight w:val="none"/>
                <w:lang w:bidi="ar"/>
              </w:rPr>
              <w:t>橡塑保温材料</w:t>
            </w:r>
          </w:p>
        </w:tc>
        <w:tc>
          <w:tcPr>
            <w:tcW w:w="38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凯门富乐斯、华美、亚罗弗、杜肯或相当于</w:t>
            </w:r>
          </w:p>
        </w:tc>
        <w:tc>
          <w:tcPr>
            <w:tcW w:w="215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p>
        </w:tc>
      </w:tr>
      <w:tr>
        <w:tblPrEx>
          <w:tblCellMar>
            <w:top w:w="0" w:type="dxa"/>
            <w:left w:w="108" w:type="dxa"/>
            <w:bottom w:w="0" w:type="dxa"/>
            <w:right w:w="108" w:type="dxa"/>
          </w:tblCellMar>
        </w:tblPrEx>
        <w:trPr>
          <w:trHeight w:val="471" w:hRule="atLeast"/>
          <w:jc w:val="center"/>
        </w:trPr>
        <w:tc>
          <w:tcPr>
            <w:tcW w:w="76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16</w:t>
            </w:r>
          </w:p>
        </w:tc>
        <w:tc>
          <w:tcPr>
            <w:tcW w:w="314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auto"/>
                <w:sz w:val="24"/>
                <w:highlight w:val="none"/>
              </w:rPr>
            </w:pPr>
            <w:r>
              <w:rPr>
                <w:rFonts w:hint="eastAsia" w:ascii="仿宋" w:hAnsi="仿宋" w:eastAsia="仿宋" w:cs="仿宋"/>
                <w:color w:val="auto"/>
                <w:kern w:val="0"/>
                <w:sz w:val="24"/>
                <w:highlight w:val="none"/>
                <w:lang w:bidi="ar"/>
              </w:rPr>
              <w:t>风管</w:t>
            </w:r>
          </w:p>
        </w:tc>
        <w:tc>
          <w:tcPr>
            <w:tcW w:w="38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浙江长城净化、北京宜富思特、苏州生益净化、吴江华鑫或相当于</w:t>
            </w:r>
          </w:p>
        </w:tc>
        <w:tc>
          <w:tcPr>
            <w:tcW w:w="215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p>
        </w:tc>
      </w:tr>
      <w:tr>
        <w:tblPrEx>
          <w:tblCellMar>
            <w:top w:w="0" w:type="dxa"/>
            <w:left w:w="108" w:type="dxa"/>
            <w:bottom w:w="0" w:type="dxa"/>
            <w:right w:w="108" w:type="dxa"/>
          </w:tblCellMar>
        </w:tblPrEx>
        <w:trPr>
          <w:trHeight w:val="471" w:hRule="atLeast"/>
          <w:jc w:val="center"/>
        </w:trPr>
        <w:tc>
          <w:tcPr>
            <w:tcW w:w="766" w:type="dxa"/>
            <w:vMerge w:val="restart"/>
            <w:tcBorders>
              <w:top w:val="single" w:color="000000" w:sz="4" w:space="0"/>
              <w:left w:val="single" w:color="000000" w:sz="4" w:space="0"/>
              <w:right w:val="single" w:color="000000" w:sz="4" w:space="0"/>
            </w:tcBorders>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17</w:t>
            </w:r>
          </w:p>
        </w:tc>
        <w:tc>
          <w:tcPr>
            <w:tcW w:w="1176" w:type="dxa"/>
            <w:vMerge w:val="restart"/>
            <w:tcBorders>
              <w:top w:val="single" w:color="000000" w:sz="4" w:space="0"/>
              <w:left w:val="single" w:color="000000" w:sz="4" w:space="0"/>
              <w:right w:val="single" w:color="000000" w:sz="4" w:space="0"/>
            </w:tcBorders>
            <w:vAlign w:val="center"/>
          </w:tcPr>
          <w:p>
            <w:pPr>
              <w:widowControl/>
              <w:jc w:val="left"/>
              <w:textAlignment w:val="center"/>
              <w:rPr>
                <w:rFonts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安防系统</w:t>
            </w:r>
          </w:p>
        </w:tc>
        <w:tc>
          <w:tcPr>
            <w:tcW w:w="19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网线（含跳线）</w:t>
            </w:r>
          </w:p>
        </w:tc>
        <w:tc>
          <w:tcPr>
            <w:tcW w:w="3876" w:type="dxa"/>
            <w:vMerge w:val="restart"/>
            <w:tcBorders>
              <w:top w:val="single" w:color="000000" w:sz="4" w:space="0"/>
              <w:left w:val="single" w:color="000000" w:sz="4" w:space="0"/>
              <w:right w:val="single" w:color="000000" w:sz="4" w:space="0"/>
            </w:tcBorders>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普天天纪、一舟、罗格朗</w:t>
            </w:r>
            <w:r>
              <w:rPr>
                <w:rFonts w:hint="eastAsia" w:ascii="仿宋" w:hAnsi="仿宋" w:eastAsia="仿宋" w:cs="仿宋"/>
                <w:color w:val="auto"/>
                <w:kern w:val="0"/>
                <w:sz w:val="24"/>
                <w:highlight w:val="none"/>
                <w:lang w:bidi="ar"/>
              </w:rPr>
              <w:t>或相当于</w:t>
            </w:r>
          </w:p>
        </w:tc>
        <w:tc>
          <w:tcPr>
            <w:tcW w:w="215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p>
        </w:tc>
      </w:tr>
      <w:tr>
        <w:tblPrEx>
          <w:tblCellMar>
            <w:top w:w="0" w:type="dxa"/>
            <w:left w:w="108" w:type="dxa"/>
            <w:bottom w:w="0" w:type="dxa"/>
            <w:right w:w="108" w:type="dxa"/>
          </w:tblCellMar>
        </w:tblPrEx>
        <w:trPr>
          <w:trHeight w:val="471" w:hRule="atLeast"/>
          <w:jc w:val="center"/>
        </w:trPr>
        <w:tc>
          <w:tcPr>
            <w:tcW w:w="766" w:type="dxa"/>
            <w:vMerge w:val="continue"/>
            <w:tcBorders>
              <w:left w:val="single" w:color="000000" w:sz="4" w:space="0"/>
              <w:right w:val="single" w:color="000000" w:sz="4" w:space="0"/>
            </w:tcBorders>
            <w:vAlign w:val="center"/>
          </w:tcPr>
          <w:p>
            <w:pPr>
              <w:jc w:val="center"/>
              <w:rPr>
                <w:rFonts w:ascii="仿宋" w:hAnsi="仿宋" w:eastAsia="仿宋" w:cs="仿宋"/>
                <w:color w:val="auto"/>
                <w:sz w:val="24"/>
                <w:highlight w:val="none"/>
              </w:rPr>
            </w:pPr>
          </w:p>
        </w:tc>
        <w:tc>
          <w:tcPr>
            <w:tcW w:w="1176" w:type="dxa"/>
            <w:vMerge w:val="continue"/>
            <w:tcBorders>
              <w:left w:val="single" w:color="000000" w:sz="4" w:space="0"/>
              <w:right w:val="single" w:color="000000" w:sz="4" w:space="0"/>
            </w:tcBorders>
            <w:vAlign w:val="center"/>
          </w:tcPr>
          <w:p>
            <w:pPr>
              <w:widowControl/>
              <w:jc w:val="left"/>
              <w:textAlignment w:val="center"/>
              <w:rPr>
                <w:rFonts w:ascii="仿宋" w:hAnsi="仿宋" w:eastAsia="仿宋" w:cs="仿宋"/>
                <w:color w:val="auto"/>
                <w:kern w:val="0"/>
                <w:sz w:val="24"/>
                <w:highlight w:val="none"/>
                <w:lang w:bidi="ar"/>
              </w:rPr>
            </w:pPr>
          </w:p>
        </w:tc>
        <w:tc>
          <w:tcPr>
            <w:tcW w:w="19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光缆（含跳线、尾纤）、大对数电缆</w:t>
            </w:r>
          </w:p>
        </w:tc>
        <w:tc>
          <w:tcPr>
            <w:tcW w:w="3876" w:type="dxa"/>
            <w:vMerge w:val="continue"/>
            <w:tcBorders>
              <w:left w:val="single" w:color="000000" w:sz="4" w:space="0"/>
              <w:right w:val="single" w:color="000000" w:sz="4" w:space="0"/>
            </w:tcBorders>
            <w:vAlign w:val="center"/>
          </w:tcPr>
          <w:p>
            <w:pPr>
              <w:rPr>
                <w:rFonts w:ascii="仿宋" w:hAnsi="仿宋" w:eastAsia="仿宋" w:cs="仿宋"/>
                <w:color w:val="auto"/>
                <w:sz w:val="24"/>
                <w:highlight w:val="none"/>
              </w:rPr>
            </w:pPr>
          </w:p>
        </w:tc>
        <w:tc>
          <w:tcPr>
            <w:tcW w:w="215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p>
        </w:tc>
      </w:tr>
      <w:tr>
        <w:tblPrEx>
          <w:tblCellMar>
            <w:top w:w="0" w:type="dxa"/>
            <w:left w:w="108" w:type="dxa"/>
            <w:bottom w:w="0" w:type="dxa"/>
            <w:right w:w="108" w:type="dxa"/>
          </w:tblCellMar>
        </w:tblPrEx>
        <w:trPr>
          <w:trHeight w:val="471" w:hRule="atLeast"/>
          <w:jc w:val="center"/>
        </w:trPr>
        <w:tc>
          <w:tcPr>
            <w:tcW w:w="766" w:type="dxa"/>
            <w:vMerge w:val="continue"/>
            <w:tcBorders>
              <w:left w:val="single" w:color="000000" w:sz="4" w:space="0"/>
              <w:right w:val="single" w:color="000000" w:sz="4" w:space="0"/>
            </w:tcBorders>
            <w:vAlign w:val="center"/>
          </w:tcPr>
          <w:p>
            <w:pPr>
              <w:jc w:val="center"/>
              <w:rPr>
                <w:rFonts w:ascii="仿宋" w:hAnsi="仿宋" w:eastAsia="仿宋" w:cs="仿宋"/>
                <w:color w:val="auto"/>
                <w:sz w:val="24"/>
                <w:highlight w:val="none"/>
              </w:rPr>
            </w:pPr>
          </w:p>
        </w:tc>
        <w:tc>
          <w:tcPr>
            <w:tcW w:w="1176" w:type="dxa"/>
            <w:vMerge w:val="continue"/>
            <w:tcBorders>
              <w:left w:val="single" w:color="000000" w:sz="4" w:space="0"/>
              <w:right w:val="single" w:color="000000" w:sz="4" w:space="0"/>
            </w:tcBorders>
            <w:vAlign w:val="center"/>
          </w:tcPr>
          <w:p>
            <w:pPr>
              <w:widowControl/>
              <w:jc w:val="left"/>
              <w:textAlignment w:val="center"/>
              <w:rPr>
                <w:rFonts w:ascii="仿宋" w:hAnsi="仿宋" w:eastAsia="仿宋" w:cs="仿宋"/>
                <w:color w:val="auto"/>
                <w:kern w:val="0"/>
                <w:sz w:val="24"/>
                <w:highlight w:val="none"/>
                <w:lang w:bidi="ar"/>
              </w:rPr>
            </w:pPr>
          </w:p>
        </w:tc>
        <w:tc>
          <w:tcPr>
            <w:tcW w:w="19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信息面板（含模块）</w:t>
            </w:r>
          </w:p>
        </w:tc>
        <w:tc>
          <w:tcPr>
            <w:tcW w:w="3876" w:type="dxa"/>
            <w:vMerge w:val="continue"/>
            <w:tcBorders>
              <w:left w:val="single" w:color="000000" w:sz="4" w:space="0"/>
              <w:right w:val="single" w:color="000000" w:sz="4" w:space="0"/>
            </w:tcBorders>
            <w:vAlign w:val="center"/>
          </w:tcPr>
          <w:p>
            <w:pPr>
              <w:rPr>
                <w:rFonts w:ascii="仿宋" w:hAnsi="仿宋" w:eastAsia="仿宋" w:cs="仿宋"/>
                <w:color w:val="auto"/>
                <w:sz w:val="24"/>
                <w:highlight w:val="none"/>
              </w:rPr>
            </w:pPr>
          </w:p>
        </w:tc>
        <w:tc>
          <w:tcPr>
            <w:tcW w:w="215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p>
        </w:tc>
      </w:tr>
      <w:tr>
        <w:tblPrEx>
          <w:tblCellMar>
            <w:top w:w="0" w:type="dxa"/>
            <w:left w:w="108" w:type="dxa"/>
            <w:bottom w:w="0" w:type="dxa"/>
            <w:right w:w="108" w:type="dxa"/>
          </w:tblCellMar>
        </w:tblPrEx>
        <w:trPr>
          <w:trHeight w:val="471" w:hRule="atLeast"/>
          <w:jc w:val="center"/>
        </w:trPr>
        <w:tc>
          <w:tcPr>
            <w:tcW w:w="766" w:type="dxa"/>
            <w:vMerge w:val="continue"/>
            <w:tcBorders>
              <w:left w:val="single" w:color="000000" w:sz="4" w:space="0"/>
              <w:right w:val="single" w:color="000000" w:sz="4" w:space="0"/>
            </w:tcBorders>
            <w:vAlign w:val="center"/>
          </w:tcPr>
          <w:p>
            <w:pPr>
              <w:jc w:val="center"/>
              <w:rPr>
                <w:rFonts w:ascii="仿宋" w:hAnsi="仿宋" w:eastAsia="仿宋" w:cs="仿宋"/>
                <w:color w:val="auto"/>
                <w:sz w:val="24"/>
                <w:highlight w:val="none"/>
              </w:rPr>
            </w:pPr>
          </w:p>
        </w:tc>
        <w:tc>
          <w:tcPr>
            <w:tcW w:w="1176" w:type="dxa"/>
            <w:vMerge w:val="continue"/>
            <w:tcBorders>
              <w:left w:val="single" w:color="000000" w:sz="4" w:space="0"/>
              <w:right w:val="single" w:color="000000" w:sz="4" w:space="0"/>
            </w:tcBorders>
            <w:vAlign w:val="center"/>
          </w:tcPr>
          <w:p>
            <w:pPr>
              <w:widowControl/>
              <w:jc w:val="left"/>
              <w:textAlignment w:val="center"/>
              <w:rPr>
                <w:rFonts w:ascii="仿宋" w:hAnsi="仿宋" w:eastAsia="仿宋" w:cs="仿宋"/>
                <w:color w:val="auto"/>
                <w:kern w:val="0"/>
                <w:sz w:val="24"/>
                <w:highlight w:val="none"/>
                <w:lang w:bidi="ar"/>
              </w:rPr>
            </w:pPr>
          </w:p>
        </w:tc>
        <w:tc>
          <w:tcPr>
            <w:tcW w:w="19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配线架</w:t>
            </w:r>
          </w:p>
        </w:tc>
        <w:tc>
          <w:tcPr>
            <w:tcW w:w="3876" w:type="dxa"/>
            <w:vMerge w:val="continue"/>
            <w:tcBorders>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p>
        </w:tc>
        <w:tc>
          <w:tcPr>
            <w:tcW w:w="215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p>
        </w:tc>
      </w:tr>
      <w:tr>
        <w:tblPrEx>
          <w:tblCellMar>
            <w:top w:w="0" w:type="dxa"/>
            <w:left w:w="108" w:type="dxa"/>
            <w:bottom w:w="0" w:type="dxa"/>
            <w:right w:w="108" w:type="dxa"/>
          </w:tblCellMar>
        </w:tblPrEx>
        <w:trPr>
          <w:trHeight w:val="471" w:hRule="atLeast"/>
          <w:jc w:val="center"/>
        </w:trPr>
        <w:tc>
          <w:tcPr>
            <w:tcW w:w="766" w:type="dxa"/>
            <w:vMerge w:val="continue"/>
            <w:tcBorders>
              <w:left w:val="single" w:color="000000" w:sz="4" w:space="0"/>
              <w:bottom w:val="single" w:color="000000" w:sz="4" w:space="0"/>
              <w:right w:val="single" w:color="000000" w:sz="4" w:space="0"/>
            </w:tcBorders>
            <w:vAlign w:val="center"/>
          </w:tcPr>
          <w:p>
            <w:pPr>
              <w:jc w:val="center"/>
              <w:rPr>
                <w:rFonts w:ascii="仿宋" w:hAnsi="仿宋" w:eastAsia="仿宋" w:cs="仿宋"/>
                <w:color w:val="auto"/>
                <w:sz w:val="24"/>
                <w:highlight w:val="none"/>
              </w:rPr>
            </w:pPr>
          </w:p>
        </w:tc>
        <w:tc>
          <w:tcPr>
            <w:tcW w:w="1176" w:type="dxa"/>
            <w:vMerge w:val="continue"/>
            <w:tcBorders>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auto"/>
                <w:kern w:val="0"/>
                <w:sz w:val="24"/>
                <w:highlight w:val="none"/>
                <w:lang w:bidi="ar"/>
              </w:rPr>
            </w:pPr>
          </w:p>
        </w:tc>
        <w:tc>
          <w:tcPr>
            <w:tcW w:w="1968"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机柜</w:t>
            </w:r>
          </w:p>
        </w:tc>
        <w:tc>
          <w:tcPr>
            <w:tcW w:w="387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一舟、建云、天诚、图腾</w:t>
            </w:r>
            <w:r>
              <w:rPr>
                <w:rFonts w:hint="eastAsia" w:ascii="仿宋" w:hAnsi="仿宋" w:eastAsia="仿宋" w:cs="仿宋"/>
                <w:color w:val="auto"/>
                <w:kern w:val="0"/>
                <w:sz w:val="24"/>
                <w:highlight w:val="none"/>
                <w:lang w:bidi="ar"/>
              </w:rPr>
              <w:t>或相当于</w:t>
            </w:r>
          </w:p>
        </w:tc>
        <w:tc>
          <w:tcPr>
            <w:tcW w:w="215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p>
        </w:tc>
      </w:tr>
      <w:tr>
        <w:tblPrEx>
          <w:tblCellMar>
            <w:top w:w="0" w:type="dxa"/>
            <w:left w:w="108" w:type="dxa"/>
            <w:bottom w:w="0" w:type="dxa"/>
            <w:right w:w="108" w:type="dxa"/>
          </w:tblCellMar>
        </w:tblPrEx>
        <w:trPr>
          <w:trHeight w:val="471" w:hRule="atLeast"/>
          <w:jc w:val="center"/>
        </w:trPr>
        <w:tc>
          <w:tcPr>
            <w:tcW w:w="766" w:type="dxa"/>
            <w:vMerge w:val="restart"/>
            <w:tcBorders>
              <w:top w:val="single" w:color="000000" w:sz="4" w:space="0"/>
              <w:left w:val="single" w:color="000000" w:sz="4" w:space="0"/>
              <w:right w:val="single" w:color="000000" w:sz="4" w:space="0"/>
            </w:tcBorders>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18</w:t>
            </w:r>
          </w:p>
        </w:tc>
        <w:tc>
          <w:tcPr>
            <w:tcW w:w="1176" w:type="dxa"/>
            <w:vMerge w:val="restart"/>
            <w:tcBorders>
              <w:top w:val="single" w:color="000000" w:sz="4" w:space="0"/>
              <w:left w:val="single" w:color="000000" w:sz="4" w:space="0"/>
              <w:right w:val="single" w:color="auto" w:sz="4" w:space="0"/>
            </w:tcBorders>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安防系统</w:t>
            </w:r>
          </w:p>
        </w:tc>
        <w:tc>
          <w:tcPr>
            <w:tcW w:w="196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摄像机</w:t>
            </w:r>
          </w:p>
        </w:tc>
        <w:tc>
          <w:tcPr>
            <w:tcW w:w="3876" w:type="dxa"/>
            <w:vMerge w:val="restart"/>
            <w:tcBorders>
              <w:top w:val="single" w:color="000000" w:sz="4" w:space="0"/>
              <w:left w:val="single" w:color="auto" w:sz="4" w:space="0"/>
              <w:right w:val="single" w:color="000000" w:sz="4" w:space="0"/>
            </w:tcBorders>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海康、大华、宇视</w:t>
            </w:r>
            <w:r>
              <w:rPr>
                <w:rFonts w:hint="eastAsia" w:ascii="仿宋" w:hAnsi="仿宋" w:eastAsia="仿宋" w:cs="仿宋"/>
                <w:color w:val="auto"/>
                <w:kern w:val="0"/>
                <w:sz w:val="24"/>
                <w:highlight w:val="none"/>
                <w:lang w:bidi="ar"/>
              </w:rPr>
              <w:t>或相当于</w:t>
            </w:r>
          </w:p>
        </w:tc>
        <w:tc>
          <w:tcPr>
            <w:tcW w:w="215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p>
        </w:tc>
      </w:tr>
      <w:tr>
        <w:tblPrEx>
          <w:tblCellMar>
            <w:top w:w="0" w:type="dxa"/>
            <w:left w:w="108" w:type="dxa"/>
            <w:bottom w:w="0" w:type="dxa"/>
            <w:right w:w="108" w:type="dxa"/>
          </w:tblCellMar>
        </w:tblPrEx>
        <w:trPr>
          <w:trHeight w:val="471" w:hRule="atLeast"/>
          <w:jc w:val="center"/>
        </w:trPr>
        <w:tc>
          <w:tcPr>
            <w:tcW w:w="766" w:type="dxa"/>
            <w:vMerge w:val="continue"/>
            <w:tcBorders>
              <w:left w:val="single" w:color="000000" w:sz="4" w:space="0"/>
              <w:right w:val="single" w:color="000000" w:sz="4" w:space="0"/>
            </w:tcBorders>
            <w:vAlign w:val="center"/>
          </w:tcPr>
          <w:p>
            <w:pPr>
              <w:jc w:val="center"/>
              <w:rPr>
                <w:rFonts w:ascii="仿宋" w:hAnsi="仿宋" w:eastAsia="仿宋" w:cs="仿宋"/>
                <w:color w:val="auto"/>
                <w:sz w:val="24"/>
                <w:highlight w:val="none"/>
              </w:rPr>
            </w:pPr>
          </w:p>
        </w:tc>
        <w:tc>
          <w:tcPr>
            <w:tcW w:w="1176" w:type="dxa"/>
            <w:vMerge w:val="continue"/>
            <w:tcBorders>
              <w:left w:val="single" w:color="000000" w:sz="4" w:space="0"/>
              <w:right w:val="single" w:color="auto" w:sz="4" w:space="0"/>
            </w:tcBorders>
            <w:vAlign w:val="center"/>
          </w:tcPr>
          <w:p>
            <w:pPr>
              <w:jc w:val="center"/>
              <w:rPr>
                <w:rFonts w:ascii="仿宋" w:hAnsi="仿宋" w:eastAsia="仿宋" w:cs="仿宋"/>
                <w:color w:val="auto"/>
                <w:sz w:val="24"/>
                <w:highlight w:val="none"/>
              </w:rPr>
            </w:pPr>
          </w:p>
        </w:tc>
        <w:tc>
          <w:tcPr>
            <w:tcW w:w="196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矩阵</w:t>
            </w:r>
          </w:p>
        </w:tc>
        <w:tc>
          <w:tcPr>
            <w:tcW w:w="3876" w:type="dxa"/>
            <w:vMerge w:val="continue"/>
            <w:tcBorders>
              <w:left w:val="single" w:color="auto" w:sz="4" w:space="0"/>
              <w:right w:val="single" w:color="000000" w:sz="4" w:space="0"/>
            </w:tcBorders>
            <w:vAlign w:val="center"/>
          </w:tcPr>
          <w:p>
            <w:pPr>
              <w:rPr>
                <w:rFonts w:ascii="仿宋" w:hAnsi="仿宋" w:eastAsia="仿宋" w:cs="仿宋"/>
                <w:color w:val="auto"/>
                <w:sz w:val="24"/>
                <w:highlight w:val="none"/>
              </w:rPr>
            </w:pPr>
          </w:p>
        </w:tc>
        <w:tc>
          <w:tcPr>
            <w:tcW w:w="215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p>
        </w:tc>
      </w:tr>
      <w:tr>
        <w:tblPrEx>
          <w:tblCellMar>
            <w:top w:w="0" w:type="dxa"/>
            <w:left w:w="108" w:type="dxa"/>
            <w:bottom w:w="0" w:type="dxa"/>
            <w:right w:w="108" w:type="dxa"/>
          </w:tblCellMar>
        </w:tblPrEx>
        <w:trPr>
          <w:trHeight w:val="471" w:hRule="atLeast"/>
          <w:jc w:val="center"/>
        </w:trPr>
        <w:tc>
          <w:tcPr>
            <w:tcW w:w="766" w:type="dxa"/>
            <w:vMerge w:val="continue"/>
            <w:tcBorders>
              <w:left w:val="single" w:color="000000" w:sz="4" w:space="0"/>
              <w:right w:val="single" w:color="000000" w:sz="4" w:space="0"/>
            </w:tcBorders>
            <w:vAlign w:val="center"/>
          </w:tcPr>
          <w:p>
            <w:pPr>
              <w:jc w:val="center"/>
              <w:rPr>
                <w:rFonts w:ascii="仿宋" w:hAnsi="仿宋" w:eastAsia="仿宋" w:cs="仿宋"/>
                <w:color w:val="auto"/>
                <w:sz w:val="24"/>
                <w:highlight w:val="none"/>
              </w:rPr>
            </w:pPr>
          </w:p>
        </w:tc>
        <w:tc>
          <w:tcPr>
            <w:tcW w:w="1176" w:type="dxa"/>
            <w:vMerge w:val="continue"/>
            <w:tcBorders>
              <w:left w:val="single" w:color="000000" w:sz="4" w:space="0"/>
              <w:right w:val="single" w:color="auto" w:sz="4" w:space="0"/>
            </w:tcBorders>
            <w:vAlign w:val="center"/>
          </w:tcPr>
          <w:p>
            <w:pPr>
              <w:jc w:val="center"/>
              <w:rPr>
                <w:rFonts w:ascii="仿宋" w:hAnsi="仿宋" w:eastAsia="仿宋" w:cs="仿宋"/>
                <w:color w:val="auto"/>
                <w:sz w:val="24"/>
                <w:highlight w:val="none"/>
              </w:rPr>
            </w:pPr>
          </w:p>
        </w:tc>
        <w:tc>
          <w:tcPr>
            <w:tcW w:w="196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硬盘录像机</w:t>
            </w:r>
          </w:p>
        </w:tc>
        <w:tc>
          <w:tcPr>
            <w:tcW w:w="3876" w:type="dxa"/>
            <w:vMerge w:val="continue"/>
            <w:tcBorders>
              <w:left w:val="single" w:color="auto" w:sz="4" w:space="0"/>
              <w:bottom w:val="single" w:color="000000" w:sz="4" w:space="0"/>
              <w:right w:val="single" w:color="000000" w:sz="4" w:space="0"/>
            </w:tcBorders>
            <w:vAlign w:val="center"/>
          </w:tcPr>
          <w:p>
            <w:pPr>
              <w:rPr>
                <w:rFonts w:ascii="仿宋" w:hAnsi="仿宋" w:eastAsia="仿宋" w:cs="仿宋"/>
                <w:color w:val="auto"/>
                <w:sz w:val="24"/>
                <w:highlight w:val="none"/>
              </w:rPr>
            </w:pPr>
          </w:p>
        </w:tc>
        <w:tc>
          <w:tcPr>
            <w:tcW w:w="215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p>
        </w:tc>
      </w:tr>
      <w:tr>
        <w:tblPrEx>
          <w:tblCellMar>
            <w:top w:w="0" w:type="dxa"/>
            <w:left w:w="108" w:type="dxa"/>
            <w:bottom w:w="0" w:type="dxa"/>
            <w:right w:w="108" w:type="dxa"/>
          </w:tblCellMar>
        </w:tblPrEx>
        <w:trPr>
          <w:trHeight w:val="471" w:hRule="atLeast"/>
          <w:jc w:val="center"/>
        </w:trPr>
        <w:tc>
          <w:tcPr>
            <w:tcW w:w="766" w:type="dxa"/>
            <w:vMerge w:val="continue"/>
            <w:tcBorders>
              <w:left w:val="single" w:color="000000" w:sz="4" w:space="0"/>
              <w:right w:val="single" w:color="000000" w:sz="4" w:space="0"/>
            </w:tcBorders>
            <w:vAlign w:val="center"/>
          </w:tcPr>
          <w:p>
            <w:pPr>
              <w:jc w:val="center"/>
              <w:rPr>
                <w:rFonts w:ascii="仿宋" w:hAnsi="仿宋" w:eastAsia="仿宋" w:cs="仿宋"/>
                <w:color w:val="auto"/>
                <w:sz w:val="24"/>
                <w:highlight w:val="none"/>
              </w:rPr>
            </w:pPr>
          </w:p>
        </w:tc>
        <w:tc>
          <w:tcPr>
            <w:tcW w:w="1176" w:type="dxa"/>
            <w:vMerge w:val="continue"/>
            <w:tcBorders>
              <w:left w:val="single" w:color="000000" w:sz="4" w:space="0"/>
              <w:right w:val="single" w:color="auto" w:sz="4" w:space="0"/>
            </w:tcBorders>
            <w:vAlign w:val="center"/>
          </w:tcPr>
          <w:p>
            <w:pPr>
              <w:jc w:val="center"/>
              <w:rPr>
                <w:rFonts w:ascii="仿宋" w:hAnsi="仿宋" w:eastAsia="仿宋" w:cs="仿宋"/>
                <w:color w:val="auto"/>
                <w:sz w:val="24"/>
                <w:highlight w:val="none"/>
              </w:rPr>
            </w:pPr>
          </w:p>
        </w:tc>
        <w:tc>
          <w:tcPr>
            <w:tcW w:w="196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智能一卡通系统</w:t>
            </w:r>
          </w:p>
        </w:tc>
        <w:tc>
          <w:tcPr>
            <w:tcW w:w="3876" w:type="dxa"/>
            <w:tcBorders>
              <w:top w:val="single" w:color="000000" w:sz="4" w:space="0"/>
              <w:left w:val="single" w:color="auto" w:sz="4" w:space="0"/>
              <w:bottom w:val="single" w:color="000000" w:sz="4" w:space="0"/>
              <w:right w:val="single" w:color="000000" w:sz="4" w:space="0"/>
            </w:tcBorders>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克立司帝、西门子、大华</w:t>
            </w:r>
            <w:r>
              <w:rPr>
                <w:rFonts w:hint="eastAsia" w:ascii="仿宋" w:hAnsi="仿宋" w:eastAsia="仿宋" w:cs="仿宋"/>
                <w:color w:val="auto"/>
                <w:kern w:val="0"/>
                <w:sz w:val="24"/>
                <w:highlight w:val="none"/>
                <w:lang w:bidi="ar"/>
              </w:rPr>
              <w:t>或相当于</w:t>
            </w:r>
          </w:p>
        </w:tc>
        <w:tc>
          <w:tcPr>
            <w:tcW w:w="215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含管理系统、总线、控制器、电磁锁、读卡器等</w:t>
            </w:r>
          </w:p>
        </w:tc>
      </w:tr>
      <w:tr>
        <w:tblPrEx>
          <w:tblCellMar>
            <w:top w:w="0" w:type="dxa"/>
            <w:left w:w="108" w:type="dxa"/>
            <w:bottom w:w="0" w:type="dxa"/>
            <w:right w:w="108" w:type="dxa"/>
          </w:tblCellMar>
        </w:tblPrEx>
        <w:trPr>
          <w:trHeight w:val="471" w:hRule="atLeast"/>
          <w:jc w:val="center"/>
        </w:trPr>
        <w:tc>
          <w:tcPr>
            <w:tcW w:w="766" w:type="dxa"/>
            <w:vMerge w:val="continue"/>
            <w:tcBorders>
              <w:left w:val="single" w:color="000000" w:sz="4" w:space="0"/>
              <w:bottom w:val="single" w:color="000000" w:sz="4" w:space="0"/>
              <w:right w:val="single" w:color="000000" w:sz="4" w:space="0"/>
            </w:tcBorders>
            <w:vAlign w:val="center"/>
          </w:tcPr>
          <w:p>
            <w:pPr>
              <w:jc w:val="center"/>
              <w:rPr>
                <w:rFonts w:ascii="仿宋" w:hAnsi="仿宋" w:eastAsia="仿宋" w:cs="仿宋"/>
                <w:color w:val="auto"/>
                <w:sz w:val="24"/>
                <w:highlight w:val="none"/>
              </w:rPr>
            </w:pPr>
          </w:p>
        </w:tc>
        <w:tc>
          <w:tcPr>
            <w:tcW w:w="1176" w:type="dxa"/>
            <w:vMerge w:val="continue"/>
            <w:tcBorders>
              <w:left w:val="single" w:color="000000" w:sz="4" w:space="0"/>
              <w:bottom w:val="single" w:color="000000" w:sz="4" w:space="0"/>
              <w:right w:val="single" w:color="auto" w:sz="4" w:space="0"/>
            </w:tcBorders>
            <w:vAlign w:val="center"/>
          </w:tcPr>
          <w:p>
            <w:pPr>
              <w:jc w:val="center"/>
              <w:rPr>
                <w:rFonts w:ascii="仿宋" w:hAnsi="仿宋" w:eastAsia="仿宋" w:cs="仿宋"/>
                <w:color w:val="auto"/>
                <w:sz w:val="24"/>
                <w:highlight w:val="none"/>
              </w:rPr>
            </w:pPr>
          </w:p>
        </w:tc>
        <w:tc>
          <w:tcPr>
            <w:tcW w:w="196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电源线（RVV）</w:t>
            </w:r>
          </w:p>
        </w:tc>
        <w:tc>
          <w:tcPr>
            <w:tcW w:w="3876" w:type="dxa"/>
            <w:tcBorders>
              <w:top w:val="single" w:color="000000" w:sz="4" w:space="0"/>
              <w:left w:val="single" w:color="auto" w:sz="4" w:space="0"/>
              <w:bottom w:val="single" w:color="000000" w:sz="4" w:space="0"/>
              <w:right w:val="single" w:color="000000" w:sz="4" w:space="0"/>
            </w:tcBorders>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天诚、浙江中策、百通、浙江万马</w:t>
            </w:r>
            <w:r>
              <w:rPr>
                <w:rFonts w:hint="eastAsia" w:ascii="仿宋" w:hAnsi="仿宋" w:eastAsia="仿宋" w:cs="仿宋"/>
                <w:color w:val="auto"/>
                <w:kern w:val="0"/>
                <w:sz w:val="24"/>
                <w:highlight w:val="none"/>
                <w:lang w:bidi="ar"/>
              </w:rPr>
              <w:t>或相当于</w:t>
            </w:r>
          </w:p>
        </w:tc>
        <w:tc>
          <w:tcPr>
            <w:tcW w:w="215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p>
        </w:tc>
      </w:tr>
      <w:tr>
        <w:tblPrEx>
          <w:tblCellMar>
            <w:top w:w="0" w:type="dxa"/>
            <w:left w:w="108" w:type="dxa"/>
            <w:bottom w:w="0" w:type="dxa"/>
            <w:right w:w="108" w:type="dxa"/>
          </w:tblCellMar>
        </w:tblPrEx>
        <w:trPr>
          <w:trHeight w:val="471" w:hRule="atLeast"/>
          <w:jc w:val="center"/>
        </w:trPr>
        <w:tc>
          <w:tcPr>
            <w:tcW w:w="76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19</w:t>
            </w:r>
          </w:p>
        </w:tc>
        <w:tc>
          <w:tcPr>
            <w:tcW w:w="3144" w:type="dxa"/>
            <w:gridSpan w:val="2"/>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病房呼叫系统</w:t>
            </w:r>
          </w:p>
        </w:tc>
        <w:tc>
          <w:tcPr>
            <w:tcW w:w="387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鑫德亮、亚华、飞星</w:t>
            </w:r>
            <w:r>
              <w:rPr>
                <w:rFonts w:hint="eastAsia" w:ascii="仿宋" w:hAnsi="仿宋" w:eastAsia="仿宋" w:cs="仿宋"/>
                <w:color w:val="auto"/>
                <w:kern w:val="0"/>
                <w:sz w:val="24"/>
                <w:highlight w:val="none"/>
                <w:lang w:bidi="ar"/>
              </w:rPr>
              <w:t>或相当于</w:t>
            </w:r>
          </w:p>
        </w:tc>
        <w:tc>
          <w:tcPr>
            <w:tcW w:w="215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p>
        </w:tc>
      </w:tr>
      <w:tr>
        <w:tblPrEx>
          <w:tblCellMar>
            <w:top w:w="0" w:type="dxa"/>
            <w:left w:w="108" w:type="dxa"/>
            <w:bottom w:w="0" w:type="dxa"/>
            <w:right w:w="108" w:type="dxa"/>
          </w:tblCellMar>
        </w:tblPrEx>
        <w:trPr>
          <w:trHeight w:val="471" w:hRule="atLeast"/>
          <w:jc w:val="center"/>
        </w:trPr>
        <w:tc>
          <w:tcPr>
            <w:tcW w:w="76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20</w:t>
            </w:r>
          </w:p>
        </w:tc>
        <w:tc>
          <w:tcPr>
            <w:tcW w:w="3144" w:type="dxa"/>
            <w:gridSpan w:val="2"/>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背景音乐及紧急广播系统</w:t>
            </w:r>
          </w:p>
        </w:tc>
        <w:tc>
          <w:tcPr>
            <w:tcW w:w="387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DSPPA、BOSCH、TOA、DS</w:t>
            </w:r>
            <w:r>
              <w:rPr>
                <w:rFonts w:hint="eastAsia" w:ascii="仿宋" w:hAnsi="仿宋" w:eastAsia="仿宋" w:cs="仿宋"/>
                <w:color w:val="auto"/>
                <w:kern w:val="0"/>
                <w:sz w:val="24"/>
                <w:highlight w:val="none"/>
                <w:lang w:bidi="ar"/>
              </w:rPr>
              <w:t>或相当于</w:t>
            </w:r>
          </w:p>
        </w:tc>
        <w:tc>
          <w:tcPr>
            <w:tcW w:w="215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p>
        </w:tc>
      </w:tr>
      <w:tr>
        <w:tblPrEx>
          <w:tblCellMar>
            <w:top w:w="0" w:type="dxa"/>
            <w:left w:w="108" w:type="dxa"/>
            <w:bottom w:w="0" w:type="dxa"/>
            <w:right w:w="108" w:type="dxa"/>
          </w:tblCellMar>
        </w:tblPrEx>
        <w:trPr>
          <w:trHeight w:val="471" w:hRule="atLeast"/>
          <w:jc w:val="center"/>
        </w:trPr>
        <w:tc>
          <w:tcPr>
            <w:tcW w:w="76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21</w:t>
            </w:r>
          </w:p>
        </w:tc>
        <w:tc>
          <w:tcPr>
            <w:tcW w:w="3144" w:type="dxa"/>
            <w:gridSpan w:val="2"/>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无线覆盖网络系统</w:t>
            </w:r>
          </w:p>
        </w:tc>
        <w:tc>
          <w:tcPr>
            <w:tcW w:w="387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华三、思科、juniper、华为</w:t>
            </w:r>
            <w:r>
              <w:rPr>
                <w:rFonts w:hint="eastAsia" w:ascii="仿宋" w:hAnsi="仿宋" w:eastAsia="仿宋" w:cs="仿宋"/>
                <w:color w:val="auto"/>
                <w:kern w:val="0"/>
                <w:sz w:val="24"/>
                <w:highlight w:val="none"/>
                <w:lang w:bidi="ar"/>
              </w:rPr>
              <w:t>或相当于</w:t>
            </w:r>
          </w:p>
        </w:tc>
        <w:tc>
          <w:tcPr>
            <w:tcW w:w="215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p>
        </w:tc>
      </w:tr>
      <w:tr>
        <w:tblPrEx>
          <w:tblCellMar>
            <w:top w:w="0" w:type="dxa"/>
            <w:left w:w="108" w:type="dxa"/>
            <w:bottom w:w="0" w:type="dxa"/>
            <w:right w:w="108" w:type="dxa"/>
          </w:tblCellMar>
        </w:tblPrEx>
        <w:trPr>
          <w:trHeight w:val="471" w:hRule="atLeast"/>
          <w:jc w:val="center"/>
        </w:trPr>
        <w:tc>
          <w:tcPr>
            <w:tcW w:w="76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22</w:t>
            </w:r>
          </w:p>
        </w:tc>
        <w:tc>
          <w:tcPr>
            <w:tcW w:w="3144" w:type="dxa"/>
            <w:gridSpan w:val="2"/>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网络设备</w:t>
            </w:r>
          </w:p>
        </w:tc>
        <w:tc>
          <w:tcPr>
            <w:tcW w:w="387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华三、思科、juniper、华为</w:t>
            </w:r>
            <w:r>
              <w:rPr>
                <w:rFonts w:hint="eastAsia" w:ascii="仿宋" w:hAnsi="仿宋" w:eastAsia="仿宋" w:cs="仿宋"/>
                <w:color w:val="auto"/>
                <w:kern w:val="0"/>
                <w:sz w:val="24"/>
                <w:highlight w:val="none"/>
                <w:lang w:bidi="ar"/>
              </w:rPr>
              <w:t>或相当于</w:t>
            </w:r>
          </w:p>
        </w:tc>
        <w:tc>
          <w:tcPr>
            <w:tcW w:w="215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p>
        </w:tc>
      </w:tr>
      <w:tr>
        <w:tblPrEx>
          <w:tblCellMar>
            <w:top w:w="0" w:type="dxa"/>
            <w:left w:w="108" w:type="dxa"/>
            <w:bottom w:w="0" w:type="dxa"/>
            <w:right w:w="108" w:type="dxa"/>
          </w:tblCellMar>
        </w:tblPrEx>
        <w:trPr>
          <w:trHeight w:val="471" w:hRule="atLeast"/>
          <w:jc w:val="center"/>
        </w:trPr>
        <w:tc>
          <w:tcPr>
            <w:tcW w:w="76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23</w:t>
            </w:r>
          </w:p>
        </w:tc>
        <w:tc>
          <w:tcPr>
            <w:tcW w:w="3144" w:type="dxa"/>
            <w:gridSpan w:val="2"/>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橡胶板、地胶板</w:t>
            </w:r>
          </w:p>
        </w:tc>
        <w:tc>
          <w:tcPr>
            <w:tcW w:w="387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洁福美宝琳、得嘉,阿姆斯壮</w:t>
            </w:r>
            <w:r>
              <w:rPr>
                <w:rFonts w:hint="eastAsia" w:ascii="仿宋" w:hAnsi="仿宋" w:eastAsia="仿宋" w:cs="仿宋"/>
                <w:color w:val="auto"/>
                <w:kern w:val="0"/>
                <w:sz w:val="24"/>
                <w:highlight w:val="none"/>
                <w:lang w:bidi="ar"/>
              </w:rPr>
              <w:t>或相当于</w:t>
            </w:r>
          </w:p>
        </w:tc>
        <w:tc>
          <w:tcPr>
            <w:tcW w:w="2156" w:type="dxa"/>
            <w:tcBorders>
              <w:top w:val="single" w:color="000000" w:sz="4" w:space="0"/>
              <w:left w:val="single" w:color="000000" w:sz="4" w:space="0"/>
              <w:bottom w:val="single" w:color="000000" w:sz="4" w:space="0"/>
              <w:right w:val="single" w:color="000000" w:sz="4" w:space="0"/>
            </w:tcBorders>
            <w:vAlign w:val="center"/>
          </w:tcPr>
          <w:p>
            <w:pPr>
              <w:ind w:firstLine="420" w:firstLineChars="200"/>
              <w:rPr>
                <w:color w:val="auto"/>
                <w:highlight w:val="none"/>
              </w:rPr>
            </w:pPr>
            <w:r>
              <w:rPr>
                <w:rFonts w:hint="eastAsia"/>
                <w:color w:val="auto"/>
                <w:highlight w:val="none"/>
              </w:rPr>
              <w:t>2mm厚同质透心，纯植物增塑剂，耐磨等级T级，重量&lt;=2.65kg/m2</w:t>
            </w:r>
          </w:p>
          <w:p>
            <w:pPr>
              <w:pStyle w:val="24"/>
              <w:spacing w:line="240" w:lineRule="auto"/>
              <w:rPr>
                <w:color w:val="auto"/>
                <w:highlight w:val="none"/>
              </w:rPr>
            </w:pPr>
            <w:r>
              <w:rPr>
                <w:rFonts w:hint="eastAsia" w:ascii="Times New Roman" w:hAnsi="Times New Roman"/>
                <w:color w:val="auto"/>
                <w:sz w:val="21"/>
                <w:szCs w:val="24"/>
                <w:highlight w:val="none"/>
                <w:lang w:val="en-US"/>
              </w:rPr>
              <w:t>提供色样由甲方确定。含配套品牌自流平及专业铝合金收口条等配件及辅材</w:t>
            </w:r>
          </w:p>
        </w:tc>
      </w:tr>
      <w:tr>
        <w:tblPrEx>
          <w:tblCellMar>
            <w:top w:w="0" w:type="dxa"/>
            <w:left w:w="108" w:type="dxa"/>
            <w:bottom w:w="0" w:type="dxa"/>
            <w:right w:w="108" w:type="dxa"/>
          </w:tblCellMar>
        </w:tblPrEx>
        <w:trPr>
          <w:trHeight w:val="471" w:hRule="atLeast"/>
          <w:jc w:val="center"/>
        </w:trPr>
        <w:tc>
          <w:tcPr>
            <w:tcW w:w="76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24</w:t>
            </w:r>
          </w:p>
        </w:tc>
        <w:tc>
          <w:tcPr>
            <w:tcW w:w="3144" w:type="dxa"/>
            <w:gridSpan w:val="2"/>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覆膜复合金属板</w:t>
            </w:r>
          </w:p>
        </w:tc>
        <w:tc>
          <w:tcPr>
            <w:tcW w:w="387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法狮龙，卡普丹，阿鲁克邦</w:t>
            </w:r>
            <w:r>
              <w:rPr>
                <w:rFonts w:hint="eastAsia" w:ascii="仿宋" w:hAnsi="仿宋" w:eastAsia="仿宋" w:cs="仿宋"/>
                <w:color w:val="auto"/>
                <w:kern w:val="0"/>
                <w:sz w:val="24"/>
                <w:highlight w:val="none"/>
                <w:lang w:bidi="ar"/>
              </w:rPr>
              <w:t>或相当于</w:t>
            </w:r>
          </w:p>
        </w:tc>
        <w:tc>
          <w:tcPr>
            <w:tcW w:w="215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p>
        </w:tc>
      </w:tr>
      <w:tr>
        <w:tblPrEx>
          <w:tblCellMar>
            <w:top w:w="0" w:type="dxa"/>
            <w:left w:w="108" w:type="dxa"/>
            <w:bottom w:w="0" w:type="dxa"/>
            <w:right w:w="108" w:type="dxa"/>
          </w:tblCellMar>
        </w:tblPrEx>
        <w:trPr>
          <w:trHeight w:val="471" w:hRule="atLeast"/>
          <w:jc w:val="center"/>
        </w:trPr>
        <w:tc>
          <w:tcPr>
            <w:tcW w:w="76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25</w:t>
            </w:r>
          </w:p>
        </w:tc>
        <w:tc>
          <w:tcPr>
            <w:tcW w:w="3144" w:type="dxa"/>
            <w:gridSpan w:val="2"/>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防水涂料</w:t>
            </w:r>
          </w:p>
        </w:tc>
        <w:tc>
          <w:tcPr>
            <w:tcW w:w="387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北京东方雨虹、广东科顺、德高</w:t>
            </w:r>
            <w:r>
              <w:rPr>
                <w:rFonts w:hint="eastAsia" w:ascii="仿宋" w:hAnsi="仿宋" w:eastAsia="仿宋" w:cs="仿宋"/>
                <w:color w:val="auto"/>
                <w:kern w:val="0"/>
                <w:sz w:val="24"/>
                <w:highlight w:val="none"/>
                <w:lang w:bidi="ar"/>
              </w:rPr>
              <w:t>或相当于</w:t>
            </w:r>
          </w:p>
        </w:tc>
        <w:tc>
          <w:tcPr>
            <w:tcW w:w="215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p>
        </w:tc>
      </w:tr>
      <w:tr>
        <w:tblPrEx>
          <w:tblCellMar>
            <w:top w:w="0" w:type="dxa"/>
            <w:left w:w="108" w:type="dxa"/>
            <w:bottom w:w="0" w:type="dxa"/>
            <w:right w:w="108" w:type="dxa"/>
          </w:tblCellMar>
        </w:tblPrEx>
        <w:trPr>
          <w:trHeight w:val="471" w:hRule="atLeast"/>
          <w:jc w:val="center"/>
        </w:trPr>
        <w:tc>
          <w:tcPr>
            <w:tcW w:w="76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26</w:t>
            </w:r>
          </w:p>
        </w:tc>
        <w:tc>
          <w:tcPr>
            <w:tcW w:w="3144" w:type="dxa"/>
            <w:gridSpan w:val="2"/>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乳胶漆</w:t>
            </w:r>
          </w:p>
        </w:tc>
        <w:tc>
          <w:tcPr>
            <w:tcW w:w="387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三棵树、多乐士、立邦</w:t>
            </w:r>
            <w:r>
              <w:rPr>
                <w:rFonts w:hint="eastAsia" w:ascii="仿宋" w:hAnsi="仿宋" w:eastAsia="仿宋" w:cs="仿宋"/>
                <w:color w:val="auto"/>
                <w:kern w:val="0"/>
                <w:sz w:val="24"/>
                <w:highlight w:val="none"/>
                <w:lang w:bidi="ar"/>
              </w:rPr>
              <w:t>或相当于</w:t>
            </w:r>
          </w:p>
        </w:tc>
        <w:tc>
          <w:tcPr>
            <w:tcW w:w="215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p>
        </w:tc>
      </w:tr>
      <w:tr>
        <w:tblPrEx>
          <w:tblCellMar>
            <w:top w:w="0" w:type="dxa"/>
            <w:left w:w="108" w:type="dxa"/>
            <w:bottom w:w="0" w:type="dxa"/>
            <w:right w:w="108" w:type="dxa"/>
          </w:tblCellMar>
        </w:tblPrEx>
        <w:trPr>
          <w:trHeight w:val="471" w:hRule="atLeast"/>
          <w:jc w:val="center"/>
        </w:trPr>
        <w:tc>
          <w:tcPr>
            <w:tcW w:w="76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27</w:t>
            </w:r>
          </w:p>
        </w:tc>
        <w:tc>
          <w:tcPr>
            <w:tcW w:w="3144" w:type="dxa"/>
            <w:gridSpan w:val="2"/>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木质防火门</w:t>
            </w:r>
          </w:p>
        </w:tc>
        <w:tc>
          <w:tcPr>
            <w:tcW w:w="387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杭州钱江、坤裕、浙江天元</w:t>
            </w:r>
            <w:r>
              <w:rPr>
                <w:rFonts w:hint="eastAsia" w:ascii="仿宋" w:hAnsi="仿宋" w:eastAsia="仿宋" w:cs="仿宋"/>
                <w:color w:val="auto"/>
                <w:kern w:val="0"/>
                <w:sz w:val="24"/>
                <w:highlight w:val="none"/>
                <w:lang w:bidi="ar"/>
              </w:rPr>
              <w:t>或相当于</w:t>
            </w:r>
          </w:p>
        </w:tc>
        <w:tc>
          <w:tcPr>
            <w:tcW w:w="215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p>
        </w:tc>
      </w:tr>
      <w:tr>
        <w:tblPrEx>
          <w:tblCellMar>
            <w:top w:w="0" w:type="dxa"/>
            <w:left w:w="108" w:type="dxa"/>
            <w:bottom w:w="0" w:type="dxa"/>
            <w:right w:w="108" w:type="dxa"/>
          </w:tblCellMar>
        </w:tblPrEx>
        <w:trPr>
          <w:trHeight w:val="471" w:hRule="atLeast"/>
          <w:jc w:val="center"/>
        </w:trPr>
        <w:tc>
          <w:tcPr>
            <w:tcW w:w="76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28</w:t>
            </w:r>
          </w:p>
        </w:tc>
        <w:tc>
          <w:tcPr>
            <w:tcW w:w="3144" w:type="dxa"/>
            <w:gridSpan w:val="2"/>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插座</w:t>
            </w:r>
          </w:p>
        </w:tc>
        <w:tc>
          <w:tcPr>
            <w:tcW w:w="387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罗格朗、西门子、施耐德</w:t>
            </w:r>
            <w:r>
              <w:rPr>
                <w:rFonts w:hint="eastAsia" w:ascii="仿宋" w:hAnsi="仿宋" w:eastAsia="仿宋" w:cs="仿宋"/>
                <w:color w:val="auto"/>
                <w:kern w:val="0"/>
                <w:sz w:val="24"/>
                <w:highlight w:val="none"/>
                <w:lang w:bidi="ar"/>
              </w:rPr>
              <w:t>或相当于</w:t>
            </w:r>
          </w:p>
        </w:tc>
        <w:tc>
          <w:tcPr>
            <w:tcW w:w="215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五孔错位插座、三孔普通插座、防水插座</w:t>
            </w:r>
          </w:p>
        </w:tc>
      </w:tr>
      <w:tr>
        <w:tblPrEx>
          <w:tblCellMar>
            <w:top w:w="0" w:type="dxa"/>
            <w:left w:w="108" w:type="dxa"/>
            <w:bottom w:w="0" w:type="dxa"/>
            <w:right w:w="108" w:type="dxa"/>
          </w:tblCellMar>
        </w:tblPrEx>
        <w:trPr>
          <w:trHeight w:val="471" w:hRule="atLeast"/>
          <w:jc w:val="center"/>
        </w:trPr>
        <w:tc>
          <w:tcPr>
            <w:tcW w:w="76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29</w:t>
            </w:r>
          </w:p>
        </w:tc>
        <w:tc>
          <w:tcPr>
            <w:tcW w:w="3144" w:type="dxa"/>
            <w:gridSpan w:val="2"/>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免漆板</w:t>
            </w:r>
          </w:p>
        </w:tc>
        <w:tc>
          <w:tcPr>
            <w:tcW w:w="387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兔宝宝、千年舟、莫干山</w:t>
            </w:r>
            <w:r>
              <w:rPr>
                <w:rFonts w:hint="eastAsia" w:ascii="仿宋" w:hAnsi="仿宋" w:eastAsia="仿宋" w:cs="仿宋"/>
                <w:color w:val="auto"/>
                <w:kern w:val="0"/>
                <w:sz w:val="24"/>
                <w:highlight w:val="none"/>
                <w:lang w:bidi="ar"/>
              </w:rPr>
              <w:t>或相当于</w:t>
            </w:r>
          </w:p>
        </w:tc>
        <w:tc>
          <w:tcPr>
            <w:tcW w:w="215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p>
        </w:tc>
      </w:tr>
      <w:tr>
        <w:tblPrEx>
          <w:tblCellMar>
            <w:top w:w="0" w:type="dxa"/>
            <w:left w:w="108" w:type="dxa"/>
            <w:bottom w:w="0" w:type="dxa"/>
            <w:right w:w="108" w:type="dxa"/>
          </w:tblCellMar>
        </w:tblPrEx>
        <w:trPr>
          <w:trHeight w:val="471" w:hRule="atLeast"/>
          <w:jc w:val="center"/>
        </w:trPr>
        <w:tc>
          <w:tcPr>
            <w:tcW w:w="76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30</w:t>
            </w:r>
          </w:p>
        </w:tc>
        <w:tc>
          <w:tcPr>
            <w:tcW w:w="3144" w:type="dxa"/>
            <w:gridSpan w:val="2"/>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细木工板（E1级）</w:t>
            </w:r>
          </w:p>
        </w:tc>
        <w:tc>
          <w:tcPr>
            <w:tcW w:w="387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兔宝宝、千年舟、莫干山</w:t>
            </w:r>
            <w:r>
              <w:rPr>
                <w:rFonts w:hint="eastAsia" w:ascii="仿宋" w:hAnsi="仿宋" w:eastAsia="仿宋" w:cs="仿宋"/>
                <w:color w:val="auto"/>
                <w:kern w:val="0"/>
                <w:sz w:val="24"/>
                <w:highlight w:val="none"/>
                <w:lang w:bidi="ar"/>
              </w:rPr>
              <w:t>或相当于</w:t>
            </w:r>
          </w:p>
        </w:tc>
        <w:tc>
          <w:tcPr>
            <w:tcW w:w="215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p>
        </w:tc>
      </w:tr>
      <w:tr>
        <w:tblPrEx>
          <w:tblCellMar>
            <w:top w:w="0" w:type="dxa"/>
            <w:left w:w="108" w:type="dxa"/>
            <w:bottom w:w="0" w:type="dxa"/>
            <w:right w:w="108" w:type="dxa"/>
          </w:tblCellMar>
        </w:tblPrEx>
        <w:trPr>
          <w:trHeight w:val="471" w:hRule="atLeast"/>
          <w:jc w:val="center"/>
        </w:trPr>
        <w:tc>
          <w:tcPr>
            <w:tcW w:w="76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31</w:t>
            </w:r>
          </w:p>
        </w:tc>
        <w:tc>
          <w:tcPr>
            <w:tcW w:w="3144" w:type="dxa"/>
            <w:gridSpan w:val="2"/>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医用扶手</w:t>
            </w:r>
          </w:p>
        </w:tc>
        <w:tc>
          <w:tcPr>
            <w:tcW w:w="387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美瑞德、蓝品盾、怡美、日信、阿德拉克、富奥德</w:t>
            </w:r>
            <w:r>
              <w:rPr>
                <w:rFonts w:hint="eastAsia" w:ascii="仿宋" w:hAnsi="仿宋" w:eastAsia="仿宋" w:cs="仿宋"/>
                <w:color w:val="auto"/>
                <w:kern w:val="0"/>
                <w:sz w:val="24"/>
                <w:highlight w:val="none"/>
                <w:lang w:bidi="ar"/>
              </w:rPr>
              <w:t>或相当于</w:t>
            </w:r>
          </w:p>
        </w:tc>
        <w:tc>
          <w:tcPr>
            <w:tcW w:w="215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PVC材质</w:t>
            </w:r>
          </w:p>
        </w:tc>
      </w:tr>
      <w:tr>
        <w:tblPrEx>
          <w:tblCellMar>
            <w:top w:w="0" w:type="dxa"/>
            <w:left w:w="108" w:type="dxa"/>
            <w:bottom w:w="0" w:type="dxa"/>
            <w:right w:w="108" w:type="dxa"/>
          </w:tblCellMar>
        </w:tblPrEx>
        <w:trPr>
          <w:trHeight w:val="471" w:hRule="atLeast"/>
          <w:jc w:val="center"/>
        </w:trPr>
        <w:tc>
          <w:tcPr>
            <w:tcW w:w="76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32</w:t>
            </w:r>
          </w:p>
        </w:tc>
        <w:tc>
          <w:tcPr>
            <w:tcW w:w="3144" w:type="dxa"/>
            <w:gridSpan w:val="2"/>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防火装饰板</w:t>
            </w:r>
          </w:p>
        </w:tc>
        <w:tc>
          <w:tcPr>
            <w:tcW w:w="387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富美家、威盛亚、普丽</w:t>
            </w:r>
            <w:r>
              <w:rPr>
                <w:rFonts w:hint="eastAsia" w:ascii="仿宋" w:hAnsi="仿宋" w:eastAsia="仿宋" w:cs="仿宋"/>
                <w:color w:val="auto"/>
                <w:kern w:val="0"/>
                <w:sz w:val="24"/>
                <w:highlight w:val="none"/>
                <w:lang w:bidi="ar"/>
              </w:rPr>
              <w:t>或相当于</w:t>
            </w:r>
          </w:p>
        </w:tc>
        <w:tc>
          <w:tcPr>
            <w:tcW w:w="215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p>
        </w:tc>
      </w:tr>
      <w:tr>
        <w:tblPrEx>
          <w:tblCellMar>
            <w:top w:w="0" w:type="dxa"/>
            <w:left w:w="108" w:type="dxa"/>
            <w:bottom w:w="0" w:type="dxa"/>
            <w:right w:w="108" w:type="dxa"/>
          </w:tblCellMar>
        </w:tblPrEx>
        <w:trPr>
          <w:trHeight w:val="471" w:hRule="atLeast"/>
          <w:jc w:val="center"/>
        </w:trPr>
        <w:tc>
          <w:tcPr>
            <w:tcW w:w="76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33</w:t>
            </w:r>
          </w:p>
        </w:tc>
        <w:tc>
          <w:tcPr>
            <w:tcW w:w="3144" w:type="dxa"/>
            <w:gridSpan w:val="2"/>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人造石</w:t>
            </w:r>
          </w:p>
        </w:tc>
        <w:tc>
          <w:tcPr>
            <w:tcW w:w="387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LG豪美思、杜邦可丽耐、富美家色丽石</w:t>
            </w:r>
            <w:r>
              <w:rPr>
                <w:rFonts w:hint="eastAsia" w:ascii="仿宋" w:hAnsi="仿宋" w:eastAsia="仿宋" w:cs="仿宋"/>
                <w:color w:val="auto"/>
                <w:kern w:val="0"/>
                <w:sz w:val="24"/>
                <w:highlight w:val="none"/>
                <w:lang w:bidi="ar"/>
              </w:rPr>
              <w:t>或相当于</w:t>
            </w:r>
          </w:p>
        </w:tc>
        <w:tc>
          <w:tcPr>
            <w:tcW w:w="215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p>
        </w:tc>
      </w:tr>
      <w:tr>
        <w:tblPrEx>
          <w:tblCellMar>
            <w:top w:w="0" w:type="dxa"/>
            <w:left w:w="108" w:type="dxa"/>
            <w:bottom w:w="0" w:type="dxa"/>
            <w:right w:w="108" w:type="dxa"/>
          </w:tblCellMar>
        </w:tblPrEx>
        <w:trPr>
          <w:trHeight w:val="471" w:hRule="atLeast"/>
          <w:jc w:val="center"/>
        </w:trPr>
        <w:tc>
          <w:tcPr>
            <w:tcW w:w="76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34</w:t>
            </w:r>
          </w:p>
        </w:tc>
        <w:tc>
          <w:tcPr>
            <w:tcW w:w="3144" w:type="dxa"/>
            <w:gridSpan w:val="2"/>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门五金</w:t>
            </w:r>
          </w:p>
        </w:tc>
        <w:tc>
          <w:tcPr>
            <w:tcW w:w="387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亚萨合莱、盖泽、安恒</w:t>
            </w:r>
            <w:r>
              <w:rPr>
                <w:rFonts w:hint="eastAsia" w:ascii="仿宋" w:hAnsi="仿宋" w:eastAsia="仿宋" w:cs="仿宋"/>
                <w:color w:val="auto"/>
                <w:kern w:val="0"/>
                <w:sz w:val="24"/>
                <w:highlight w:val="none"/>
                <w:lang w:bidi="ar"/>
              </w:rPr>
              <w:t>或相当于</w:t>
            </w:r>
          </w:p>
        </w:tc>
        <w:tc>
          <w:tcPr>
            <w:tcW w:w="215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合页、门锁、闭门器、插销、机电一体锁等</w:t>
            </w:r>
          </w:p>
        </w:tc>
      </w:tr>
      <w:tr>
        <w:tblPrEx>
          <w:tblCellMar>
            <w:top w:w="0" w:type="dxa"/>
            <w:left w:w="108" w:type="dxa"/>
            <w:bottom w:w="0" w:type="dxa"/>
            <w:right w:w="108" w:type="dxa"/>
          </w:tblCellMar>
        </w:tblPrEx>
        <w:trPr>
          <w:trHeight w:val="471" w:hRule="atLeast"/>
          <w:jc w:val="center"/>
        </w:trPr>
        <w:tc>
          <w:tcPr>
            <w:tcW w:w="76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35</w:t>
            </w:r>
          </w:p>
        </w:tc>
        <w:tc>
          <w:tcPr>
            <w:tcW w:w="3144" w:type="dxa"/>
            <w:gridSpan w:val="2"/>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陶瓷薄板</w:t>
            </w:r>
          </w:p>
        </w:tc>
        <w:tc>
          <w:tcPr>
            <w:tcW w:w="387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浙江环博、薄斯美、蒙娜丽莎、新中源、薄尔特</w:t>
            </w:r>
            <w:r>
              <w:rPr>
                <w:rFonts w:hint="eastAsia" w:ascii="仿宋" w:hAnsi="仿宋" w:eastAsia="仿宋" w:cs="仿宋"/>
                <w:color w:val="auto"/>
                <w:kern w:val="0"/>
                <w:sz w:val="24"/>
                <w:highlight w:val="none"/>
                <w:lang w:bidi="ar"/>
              </w:rPr>
              <w:t>或相当于</w:t>
            </w:r>
          </w:p>
        </w:tc>
        <w:tc>
          <w:tcPr>
            <w:tcW w:w="215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5.5mm</w:t>
            </w:r>
          </w:p>
        </w:tc>
      </w:tr>
      <w:tr>
        <w:tblPrEx>
          <w:tblCellMar>
            <w:top w:w="0" w:type="dxa"/>
            <w:left w:w="108" w:type="dxa"/>
            <w:bottom w:w="0" w:type="dxa"/>
            <w:right w:w="108" w:type="dxa"/>
          </w:tblCellMar>
        </w:tblPrEx>
        <w:trPr>
          <w:trHeight w:val="471" w:hRule="atLeast"/>
          <w:jc w:val="center"/>
        </w:trPr>
        <w:tc>
          <w:tcPr>
            <w:tcW w:w="76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36</w:t>
            </w:r>
          </w:p>
        </w:tc>
        <w:tc>
          <w:tcPr>
            <w:tcW w:w="3144" w:type="dxa"/>
            <w:gridSpan w:val="2"/>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成品钢制门</w:t>
            </w:r>
          </w:p>
        </w:tc>
        <w:tc>
          <w:tcPr>
            <w:tcW w:w="387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南京瑟路绅，北京霍曼，浦菲尔</w:t>
            </w:r>
            <w:r>
              <w:rPr>
                <w:rFonts w:hint="eastAsia" w:ascii="仿宋" w:hAnsi="仿宋" w:eastAsia="仿宋" w:cs="仿宋"/>
                <w:color w:val="auto"/>
                <w:kern w:val="0"/>
                <w:sz w:val="24"/>
                <w:highlight w:val="none"/>
                <w:lang w:bidi="ar"/>
              </w:rPr>
              <w:t>或相当于</w:t>
            </w:r>
          </w:p>
        </w:tc>
        <w:tc>
          <w:tcPr>
            <w:tcW w:w="215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一次性折边</w:t>
            </w:r>
          </w:p>
        </w:tc>
      </w:tr>
      <w:tr>
        <w:tblPrEx>
          <w:tblCellMar>
            <w:top w:w="0" w:type="dxa"/>
            <w:left w:w="108" w:type="dxa"/>
            <w:bottom w:w="0" w:type="dxa"/>
            <w:right w:w="108" w:type="dxa"/>
          </w:tblCellMar>
        </w:tblPrEx>
        <w:trPr>
          <w:trHeight w:val="471" w:hRule="atLeast"/>
          <w:jc w:val="center"/>
        </w:trPr>
        <w:tc>
          <w:tcPr>
            <w:tcW w:w="76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37</w:t>
            </w:r>
          </w:p>
        </w:tc>
        <w:tc>
          <w:tcPr>
            <w:tcW w:w="3144" w:type="dxa"/>
            <w:gridSpan w:val="2"/>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石膏板</w:t>
            </w:r>
          </w:p>
        </w:tc>
        <w:tc>
          <w:tcPr>
            <w:tcW w:w="387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龙牌、泰山、杰科</w:t>
            </w:r>
            <w:r>
              <w:rPr>
                <w:rFonts w:hint="eastAsia" w:ascii="仿宋" w:hAnsi="仿宋" w:eastAsia="仿宋" w:cs="仿宋"/>
                <w:color w:val="auto"/>
                <w:kern w:val="0"/>
                <w:sz w:val="24"/>
                <w:highlight w:val="none"/>
                <w:lang w:bidi="ar"/>
              </w:rPr>
              <w:t>或相当于</w:t>
            </w:r>
          </w:p>
        </w:tc>
        <w:tc>
          <w:tcPr>
            <w:tcW w:w="215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p>
        </w:tc>
      </w:tr>
      <w:tr>
        <w:tblPrEx>
          <w:tblCellMar>
            <w:top w:w="0" w:type="dxa"/>
            <w:left w:w="108" w:type="dxa"/>
            <w:bottom w:w="0" w:type="dxa"/>
            <w:right w:w="108" w:type="dxa"/>
          </w:tblCellMar>
        </w:tblPrEx>
        <w:trPr>
          <w:trHeight w:val="471" w:hRule="atLeast"/>
          <w:jc w:val="center"/>
        </w:trPr>
        <w:tc>
          <w:tcPr>
            <w:tcW w:w="76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38</w:t>
            </w:r>
          </w:p>
        </w:tc>
        <w:tc>
          <w:tcPr>
            <w:tcW w:w="3144" w:type="dxa"/>
            <w:gridSpan w:val="2"/>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轻钢龙骨体系</w:t>
            </w:r>
          </w:p>
        </w:tc>
        <w:tc>
          <w:tcPr>
            <w:tcW w:w="387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龙牌、杰科 、得地</w:t>
            </w:r>
            <w:r>
              <w:rPr>
                <w:rFonts w:hint="eastAsia" w:ascii="仿宋" w:hAnsi="仿宋" w:eastAsia="仿宋" w:cs="仿宋"/>
                <w:color w:val="auto"/>
                <w:kern w:val="0"/>
                <w:sz w:val="24"/>
                <w:highlight w:val="none"/>
                <w:lang w:bidi="ar"/>
              </w:rPr>
              <w:t>或相当于</w:t>
            </w:r>
          </w:p>
        </w:tc>
        <w:tc>
          <w:tcPr>
            <w:tcW w:w="215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p>
        </w:tc>
      </w:tr>
      <w:tr>
        <w:tblPrEx>
          <w:tblCellMar>
            <w:top w:w="0" w:type="dxa"/>
            <w:left w:w="108" w:type="dxa"/>
            <w:bottom w:w="0" w:type="dxa"/>
            <w:right w:w="108" w:type="dxa"/>
          </w:tblCellMar>
        </w:tblPrEx>
        <w:trPr>
          <w:trHeight w:val="471" w:hRule="atLeast"/>
          <w:jc w:val="center"/>
        </w:trPr>
        <w:tc>
          <w:tcPr>
            <w:tcW w:w="76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39</w:t>
            </w:r>
          </w:p>
        </w:tc>
        <w:tc>
          <w:tcPr>
            <w:tcW w:w="3144" w:type="dxa"/>
            <w:gridSpan w:val="2"/>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医气脱脂紫铜管</w:t>
            </w:r>
          </w:p>
        </w:tc>
        <w:tc>
          <w:tcPr>
            <w:tcW w:w="387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广东金享、宁波埃美柯、宁波永亨、上虞金膺</w:t>
            </w:r>
            <w:r>
              <w:rPr>
                <w:rFonts w:hint="eastAsia" w:ascii="仿宋" w:hAnsi="仿宋" w:eastAsia="仿宋" w:cs="仿宋"/>
                <w:color w:val="auto"/>
                <w:kern w:val="0"/>
                <w:sz w:val="24"/>
                <w:highlight w:val="none"/>
                <w:lang w:bidi="ar"/>
              </w:rPr>
              <w:t>或相当于</w:t>
            </w:r>
          </w:p>
        </w:tc>
        <w:tc>
          <w:tcPr>
            <w:tcW w:w="215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p>
        </w:tc>
      </w:tr>
      <w:tr>
        <w:tblPrEx>
          <w:tblCellMar>
            <w:top w:w="0" w:type="dxa"/>
            <w:left w:w="108" w:type="dxa"/>
            <w:bottom w:w="0" w:type="dxa"/>
            <w:right w:w="108" w:type="dxa"/>
          </w:tblCellMar>
        </w:tblPrEx>
        <w:trPr>
          <w:trHeight w:val="471" w:hRule="atLeast"/>
          <w:jc w:val="center"/>
        </w:trPr>
        <w:tc>
          <w:tcPr>
            <w:tcW w:w="76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40</w:t>
            </w:r>
          </w:p>
        </w:tc>
        <w:tc>
          <w:tcPr>
            <w:tcW w:w="3144" w:type="dxa"/>
            <w:gridSpan w:val="2"/>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黄铜球阀</w:t>
            </w:r>
          </w:p>
        </w:tc>
        <w:tc>
          <w:tcPr>
            <w:tcW w:w="387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KITZ、宁波埃美柯、宁波永亨</w:t>
            </w:r>
            <w:r>
              <w:rPr>
                <w:rFonts w:hint="eastAsia" w:ascii="仿宋" w:hAnsi="仿宋" w:eastAsia="仿宋" w:cs="仿宋"/>
                <w:color w:val="auto"/>
                <w:kern w:val="0"/>
                <w:sz w:val="24"/>
                <w:highlight w:val="none"/>
                <w:lang w:bidi="ar"/>
              </w:rPr>
              <w:t>或相当于</w:t>
            </w:r>
          </w:p>
        </w:tc>
        <w:tc>
          <w:tcPr>
            <w:tcW w:w="215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p>
        </w:tc>
      </w:tr>
      <w:tr>
        <w:tblPrEx>
          <w:tblCellMar>
            <w:top w:w="0" w:type="dxa"/>
            <w:left w:w="108" w:type="dxa"/>
            <w:bottom w:w="0" w:type="dxa"/>
            <w:right w:w="108" w:type="dxa"/>
          </w:tblCellMar>
        </w:tblPrEx>
        <w:trPr>
          <w:trHeight w:val="471" w:hRule="atLeast"/>
          <w:jc w:val="center"/>
        </w:trPr>
        <w:tc>
          <w:tcPr>
            <w:tcW w:w="76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41</w:t>
            </w:r>
          </w:p>
        </w:tc>
        <w:tc>
          <w:tcPr>
            <w:tcW w:w="3144" w:type="dxa"/>
            <w:gridSpan w:val="2"/>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医用气体流量计</w:t>
            </w:r>
          </w:p>
        </w:tc>
        <w:tc>
          <w:tcPr>
            <w:tcW w:w="387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利华、丹东东华、上海赛维</w:t>
            </w:r>
            <w:r>
              <w:rPr>
                <w:rFonts w:hint="eastAsia" w:ascii="仿宋" w:hAnsi="仿宋" w:eastAsia="仿宋" w:cs="仿宋"/>
                <w:color w:val="auto"/>
                <w:kern w:val="0"/>
                <w:sz w:val="24"/>
                <w:highlight w:val="none"/>
                <w:lang w:bidi="ar"/>
              </w:rPr>
              <w:t>或相当于</w:t>
            </w:r>
          </w:p>
        </w:tc>
        <w:tc>
          <w:tcPr>
            <w:tcW w:w="215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p>
        </w:tc>
      </w:tr>
      <w:tr>
        <w:tblPrEx>
          <w:tblCellMar>
            <w:top w:w="0" w:type="dxa"/>
            <w:left w:w="108" w:type="dxa"/>
            <w:bottom w:w="0" w:type="dxa"/>
            <w:right w:w="108" w:type="dxa"/>
          </w:tblCellMar>
        </w:tblPrEx>
        <w:trPr>
          <w:trHeight w:val="471" w:hRule="atLeast"/>
          <w:jc w:val="center"/>
        </w:trPr>
        <w:tc>
          <w:tcPr>
            <w:tcW w:w="76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42</w:t>
            </w:r>
          </w:p>
        </w:tc>
        <w:tc>
          <w:tcPr>
            <w:tcW w:w="3144" w:type="dxa"/>
            <w:gridSpan w:val="2"/>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蹲便器（带沉水弯）</w:t>
            </w:r>
          </w:p>
        </w:tc>
        <w:tc>
          <w:tcPr>
            <w:tcW w:w="387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美标、TOTO、科勒</w:t>
            </w:r>
            <w:r>
              <w:rPr>
                <w:rFonts w:hint="eastAsia" w:ascii="仿宋" w:hAnsi="仿宋" w:eastAsia="仿宋" w:cs="仿宋"/>
                <w:color w:val="auto"/>
                <w:kern w:val="0"/>
                <w:sz w:val="24"/>
                <w:highlight w:val="none"/>
                <w:lang w:bidi="ar"/>
              </w:rPr>
              <w:t>或相当于</w:t>
            </w:r>
          </w:p>
        </w:tc>
        <w:tc>
          <w:tcPr>
            <w:tcW w:w="215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值卫</w:t>
            </w:r>
          </w:p>
        </w:tc>
      </w:tr>
      <w:tr>
        <w:tblPrEx>
          <w:tblCellMar>
            <w:top w:w="0" w:type="dxa"/>
            <w:left w:w="108" w:type="dxa"/>
            <w:bottom w:w="0" w:type="dxa"/>
            <w:right w:w="108" w:type="dxa"/>
          </w:tblCellMar>
        </w:tblPrEx>
        <w:trPr>
          <w:trHeight w:val="471" w:hRule="atLeast"/>
          <w:jc w:val="center"/>
        </w:trPr>
        <w:tc>
          <w:tcPr>
            <w:tcW w:w="76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43</w:t>
            </w:r>
          </w:p>
        </w:tc>
        <w:tc>
          <w:tcPr>
            <w:tcW w:w="3144" w:type="dxa"/>
            <w:gridSpan w:val="2"/>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蹲便器冲水感应器（带手动冲水按钮）</w:t>
            </w:r>
          </w:p>
        </w:tc>
        <w:tc>
          <w:tcPr>
            <w:tcW w:w="387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美标、TOTO、科勒</w:t>
            </w:r>
            <w:r>
              <w:rPr>
                <w:rFonts w:hint="eastAsia" w:ascii="仿宋" w:hAnsi="仿宋" w:eastAsia="仿宋" w:cs="仿宋"/>
                <w:color w:val="auto"/>
                <w:kern w:val="0"/>
                <w:sz w:val="24"/>
                <w:highlight w:val="none"/>
                <w:lang w:bidi="ar"/>
              </w:rPr>
              <w:t>或相当于</w:t>
            </w:r>
          </w:p>
        </w:tc>
        <w:tc>
          <w:tcPr>
            <w:tcW w:w="215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值卫</w:t>
            </w:r>
          </w:p>
        </w:tc>
      </w:tr>
      <w:tr>
        <w:tblPrEx>
          <w:tblCellMar>
            <w:top w:w="0" w:type="dxa"/>
            <w:left w:w="108" w:type="dxa"/>
            <w:bottom w:w="0" w:type="dxa"/>
            <w:right w:w="108" w:type="dxa"/>
          </w:tblCellMar>
        </w:tblPrEx>
        <w:trPr>
          <w:trHeight w:val="471" w:hRule="atLeast"/>
          <w:jc w:val="center"/>
        </w:trPr>
        <w:tc>
          <w:tcPr>
            <w:tcW w:w="76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44</w:t>
            </w:r>
          </w:p>
        </w:tc>
        <w:tc>
          <w:tcPr>
            <w:tcW w:w="3144" w:type="dxa"/>
            <w:gridSpan w:val="2"/>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台下盆+龙头</w:t>
            </w:r>
          </w:p>
        </w:tc>
        <w:tc>
          <w:tcPr>
            <w:tcW w:w="387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美标、TOTO、科勒</w:t>
            </w:r>
            <w:r>
              <w:rPr>
                <w:rFonts w:hint="eastAsia" w:ascii="仿宋" w:hAnsi="仿宋" w:eastAsia="仿宋" w:cs="仿宋"/>
                <w:color w:val="auto"/>
                <w:kern w:val="0"/>
                <w:sz w:val="24"/>
                <w:highlight w:val="none"/>
                <w:lang w:bidi="ar"/>
              </w:rPr>
              <w:t>或相当于</w:t>
            </w:r>
          </w:p>
        </w:tc>
        <w:tc>
          <w:tcPr>
            <w:tcW w:w="215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普通病卫、值卫</w:t>
            </w:r>
          </w:p>
        </w:tc>
      </w:tr>
      <w:tr>
        <w:tblPrEx>
          <w:tblCellMar>
            <w:top w:w="0" w:type="dxa"/>
            <w:left w:w="108" w:type="dxa"/>
            <w:bottom w:w="0" w:type="dxa"/>
            <w:right w:w="108" w:type="dxa"/>
          </w:tblCellMar>
        </w:tblPrEx>
        <w:trPr>
          <w:trHeight w:val="471" w:hRule="atLeast"/>
          <w:jc w:val="center"/>
        </w:trPr>
        <w:tc>
          <w:tcPr>
            <w:tcW w:w="76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45</w:t>
            </w:r>
          </w:p>
        </w:tc>
        <w:tc>
          <w:tcPr>
            <w:tcW w:w="3144" w:type="dxa"/>
            <w:gridSpan w:val="2"/>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加长杆龙头（可使用肘部开关）</w:t>
            </w:r>
          </w:p>
        </w:tc>
        <w:tc>
          <w:tcPr>
            <w:tcW w:w="387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美标、TOTO、科勒</w:t>
            </w:r>
            <w:r>
              <w:rPr>
                <w:rFonts w:hint="eastAsia" w:ascii="仿宋" w:hAnsi="仿宋" w:eastAsia="仿宋" w:cs="仿宋"/>
                <w:color w:val="auto"/>
                <w:kern w:val="0"/>
                <w:sz w:val="24"/>
                <w:highlight w:val="none"/>
                <w:lang w:bidi="ar"/>
              </w:rPr>
              <w:t>或相当于</w:t>
            </w:r>
          </w:p>
        </w:tc>
        <w:tc>
          <w:tcPr>
            <w:tcW w:w="215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医办、护办、主任办公室、护士长办公室等医用房间</w:t>
            </w:r>
          </w:p>
        </w:tc>
      </w:tr>
      <w:tr>
        <w:tblPrEx>
          <w:tblCellMar>
            <w:top w:w="0" w:type="dxa"/>
            <w:left w:w="108" w:type="dxa"/>
            <w:bottom w:w="0" w:type="dxa"/>
            <w:right w:w="108" w:type="dxa"/>
          </w:tblCellMar>
        </w:tblPrEx>
        <w:trPr>
          <w:trHeight w:val="471" w:hRule="atLeast"/>
          <w:jc w:val="center"/>
        </w:trPr>
        <w:tc>
          <w:tcPr>
            <w:tcW w:w="76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46</w:t>
            </w:r>
          </w:p>
        </w:tc>
        <w:tc>
          <w:tcPr>
            <w:tcW w:w="3144" w:type="dxa"/>
            <w:gridSpan w:val="2"/>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连体坐便器1</w:t>
            </w:r>
          </w:p>
        </w:tc>
        <w:tc>
          <w:tcPr>
            <w:tcW w:w="387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东鹏（W1381）、法恩莎（FB1686）、TOTO（CW886B）</w:t>
            </w:r>
            <w:r>
              <w:rPr>
                <w:rFonts w:hint="eastAsia" w:ascii="仿宋" w:hAnsi="仿宋" w:eastAsia="仿宋" w:cs="仿宋"/>
                <w:color w:val="auto"/>
                <w:kern w:val="0"/>
                <w:sz w:val="24"/>
                <w:highlight w:val="none"/>
                <w:lang w:bidi="ar"/>
              </w:rPr>
              <w:t>或相当于</w:t>
            </w:r>
          </w:p>
        </w:tc>
        <w:tc>
          <w:tcPr>
            <w:tcW w:w="215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普通病卫</w:t>
            </w:r>
          </w:p>
        </w:tc>
      </w:tr>
      <w:tr>
        <w:tblPrEx>
          <w:tblCellMar>
            <w:top w:w="0" w:type="dxa"/>
            <w:left w:w="108" w:type="dxa"/>
            <w:bottom w:w="0" w:type="dxa"/>
            <w:right w:w="108" w:type="dxa"/>
          </w:tblCellMar>
        </w:tblPrEx>
        <w:trPr>
          <w:trHeight w:val="471" w:hRule="atLeast"/>
          <w:jc w:val="center"/>
        </w:trPr>
        <w:tc>
          <w:tcPr>
            <w:tcW w:w="76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47</w:t>
            </w:r>
          </w:p>
        </w:tc>
        <w:tc>
          <w:tcPr>
            <w:tcW w:w="3144" w:type="dxa"/>
            <w:gridSpan w:val="2"/>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淋浴花洒套装三出水</w:t>
            </w:r>
          </w:p>
        </w:tc>
        <w:tc>
          <w:tcPr>
            <w:tcW w:w="387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乐家、TOTO、科勒</w:t>
            </w:r>
            <w:r>
              <w:rPr>
                <w:rFonts w:hint="eastAsia" w:ascii="仿宋" w:hAnsi="仿宋" w:eastAsia="仿宋" w:cs="仿宋"/>
                <w:color w:val="auto"/>
                <w:kern w:val="0"/>
                <w:sz w:val="24"/>
                <w:highlight w:val="none"/>
                <w:lang w:bidi="ar"/>
              </w:rPr>
              <w:t>或相当于</w:t>
            </w:r>
          </w:p>
        </w:tc>
        <w:tc>
          <w:tcPr>
            <w:tcW w:w="215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p>
        </w:tc>
      </w:tr>
      <w:tr>
        <w:tblPrEx>
          <w:tblCellMar>
            <w:top w:w="0" w:type="dxa"/>
            <w:left w:w="108" w:type="dxa"/>
            <w:bottom w:w="0" w:type="dxa"/>
            <w:right w:w="108" w:type="dxa"/>
          </w:tblCellMar>
        </w:tblPrEx>
        <w:trPr>
          <w:trHeight w:val="471" w:hRule="atLeast"/>
          <w:jc w:val="center"/>
        </w:trPr>
        <w:tc>
          <w:tcPr>
            <w:tcW w:w="76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48</w:t>
            </w:r>
          </w:p>
        </w:tc>
        <w:tc>
          <w:tcPr>
            <w:tcW w:w="3144" w:type="dxa"/>
            <w:gridSpan w:val="2"/>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挂墙式洗手盆</w:t>
            </w:r>
          </w:p>
        </w:tc>
        <w:tc>
          <w:tcPr>
            <w:tcW w:w="387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美标、TOTO、科勒</w:t>
            </w:r>
            <w:r>
              <w:rPr>
                <w:rFonts w:hint="eastAsia" w:ascii="仿宋" w:hAnsi="仿宋" w:eastAsia="仿宋" w:cs="仿宋"/>
                <w:color w:val="auto"/>
                <w:kern w:val="0"/>
                <w:sz w:val="24"/>
                <w:highlight w:val="none"/>
                <w:lang w:bidi="ar"/>
              </w:rPr>
              <w:t>或相当于</w:t>
            </w:r>
          </w:p>
        </w:tc>
        <w:tc>
          <w:tcPr>
            <w:tcW w:w="215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护士站、办公室、等医用房间</w:t>
            </w:r>
          </w:p>
        </w:tc>
      </w:tr>
      <w:tr>
        <w:tblPrEx>
          <w:tblCellMar>
            <w:top w:w="0" w:type="dxa"/>
            <w:left w:w="108" w:type="dxa"/>
            <w:bottom w:w="0" w:type="dxa"/>
            <w:right w:w="108" w:type="dxa"/>
          </w:tblCellMar>
        </w:tblPrEx>
        <w:trPr>
          <w:trHeight w:val="471" w:hRule="atLeast"/>
          <w:jc w:val="center"/>
        </w:trPr>
        <w:tc>
          <w:tcPr>
            <w:tcW w:w="76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49</w:t>
            </w:r>
          </w:p>
        </w:tc>
        <w:tc>
          <w:tcPr>
            <w:tcW w:w="3144" w:type="dxa"/>
            <w:gridSpan w:val="2"/>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T型豪华排水管</w:t>
            </w:r>
          </w:p>
        </w:tc>
        <w:tc>
          <w:tcPr>
            <w:tcW w:w="387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美标、TOTO、科勒</w:t>
            </w:r>
            <w:r>
              <w:rPr>
                <w:rFonts w:hint="eastAsia" w:ascii="仿宋" w:hAnsi="仿宋" w:eastAsia="仿宋" w:cs="仿宋"/>
                <w:color w:val="auto"/>
                <w:kern w:val="0"/>
                <w:sz w:val="24"/>
                <w:highlight w:val="none"/>
                <w:lang w:bidi="ar"/>
              </w:rPr>
              <w:t>或相当于</w:t>
            </w:r>
          </w:p>
        </w:tc>
        <w:tc>
          <w:tcPr>
            <w:tcW w:w="215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所有落水</w:t>
            </w:r>
          </w:p>
        </w:tc>
      </w:tr>
      <w:tr>
        <w:tblPrEx>
          <w:tblCellMar>
            <w:top w:w="0" w:type="dxa"/>
            <w:left w:w="108" w:type="dxa"/>
            <w:bottom w:w="0" w:type="dxa"/>
            <w:right w:w="108" w:type="dxa"/>
          </w:tblCellMar>
        </w:tblPrEx>
        <w:trPr>
          <w:trHeight w:val="471" w:hRule="atLeast"/>
          <w:jc w:val="center"/>
        </w:trPr>
        <w:tc>
          <w:tcPr>
            <w:tcW w:w="76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50</w:t>
            </w:r>
          </w:p>
        </w:tc>
        <w:tc>
          <w:tcPr>
            <w:tcW w:w="3144" w:type="dxa"/>
            <w:gridSpan w:val="2"/>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双杆毛巾杆、双层角篮置物架</w:t>
            </w:r>
          </w:p>
        </w:tc>
        <w:tc>
          <w:tcPr>
            <w:tcW w:w="387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美标、TOTO、科勒</w:t>
            </w:r>
            <w:r>
              <w:rPr>
                <w:rFonts w:hint="eastAsia" w:ascii="仿宋" w:hAnsi="仿宋" w:eastAsia="仿宋" w:cs="仿宋"/>
                <w:color w:val="auto"/>
                <w:kern w:val="0"/>
                <w:sz w:val="24"/>
                <w:highlight w:val="none"/>
                <w:lang w:bidi="ar"/>
              </w:rPr>
              <w:t>或相当于</w:t>
            </w:r>
          </w:p>
        </w:tc>
        <w:tc>
          <w:tcPr>
            <w:tcW w:w="215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病卫、值卫</w:t>
            </w:r>
          </w:p>
          <w:p>
            <w:pPr>
              <w:rPr>
                <w:rFonts w:ascii="仿宋" w:hAnsi="仿宋" w:eastAsia="仿宋" w:cs="仿宋"/>
                <w:color w:val="auto"/>
                <w:sz w:val="24"/>
                <w:highlight w:val="none"/>
              </w:rPr>
            </w:pPr>
            <w:r>
              <w:rPr>
                <w:rFonts w:hint="eastAsia" w:ascii="仿宋" w:hAnsi="仿宋" w:eastAsia="仿宋" w:cs="仿宋"/>
                <w:color w:val="auto"/>
                <w:sz w:val="24"/>
                <w:highlight w:val="none"/>
              </w:rPr>
              <w:t>材质：铜</w:t>
            </w:r>
          </w:p>
        </w:tc>
      </w:tr>
      <w:tr>
        <w:tblPrEx>
          <w:tblCellMar>
            <w:top w:w="0" w:type="dxa"/>
            <w:left w:w="108" w:type="dxa"/>
            <w:bottom w:w="0" w:type="dxa"/>
            <w:right w:w="108" w:type="dxa"/>
          </w:tblCellMar>
        </w:tblPrEx>
        <w:trPr>
          <w:trHeight w:val="471" w:hRule="atLeast"/>
          <w:jc w:val="center"/>
        </w:trPr>
        <w:tc>
          <w:tcPr>
            <w:tcW w:w="76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51</w:t>
            </w:r>
          </w:p>
        </w:tc>
        <w:tc>
          <w:tcPr>
            <w:tcW w:w="3144" w:type="dxa"/>
            <w:gridSpan w:val="2"/>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地漏</w:t>
            </w:r>
          </w:p>
        </w:tc>
        <w:tc>
          <w:tcPr>
            <w:tcW w:w="387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海福乐、潜水艇、德高</w:t>
            </w:r>
            <w:r>
              <w:rPr>
                <w:rFonts w:hint="eastAsia" w:ascii="仿宋" w:hAnsi="仿宋" w:eastAsia="仿宋" w:cs="仿宋"/>
                <w:color w:val="auto"/>
                <w:kern w:val="0"/>
                <w:sz w:val="24"/>
                <w:highlight w:val="none"/>
                <w:lang w:bidi="ar"/>
              </w:rPr>
              <w:t>或相当于</w:t>
            </w:r>
          </w:p>
        </w:tc>
        <w:tc>
          <w:tcPr>
            <w:tcW w:w="215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值卫、病卫等</w:t>
            </w:r>
          </w:p>
          <w:p>
            <w:pPr>
              <w:rPr>
                <w:rFonts w:ascii="仿宋" w:hAnsi="仿宋" w:eastAsia="仿宋" w:cs="仿宋"/>
                <w:color w:val="auto"/>
                <w:sz w:val="24"/>
                <w:highlight w:val="none"/>
              </w:rPr>
            </w:pPr>
            <w:r>
              <w:rPr>
                <w:rFonts w:hint="eastAsia" w:ascii="仿宋" w:hAnsi="仿宋" w:eastAsia="仿宋" w:cs="仿宋"/>
                <w:color w:val="auto"/>
                <w:sz w:val="24"/>
                <w:highlight w:val="none"/>
              </w:rPr>
              <w:t>材质：铜</w:t>
            </w:r>
          </w:p>
        </w:tc>
      </w:tr>
    </w:tbl>
    <w:p>
      <w:pPr>
        <w:snapToGrid w:val="0"/>
        <w:spacing w:line="360" w:lineRule="auto"/>
        <w:ind w:firstLine="600" w:firstLineChars="250"/>
        <w:rPr>
          <w:rFonts w:ascii="仿宋" w:hAnsi="仿宋" w:eastAsia="仿宋" w:cs="仿宋"/>
          <w:color w:val="auto"/>
          <w:sz w:val="24"/>
          <w:highlight w:val="none"/>
        </w:rPr>
      </w:pPr>
      <w:r>
        <w:rPr>
          <w:rFonts w:hint="eastAsia" w:ascii="仿宋" w:hAnsi="仿宋" w:eastAsia="仿宋" w:cs="仿宋"/>
          <w:color w:val="auto"/>
          <w:sz w:val="24"/>
          <w:highlight w:val="none"/>
        </w:rPr>
        <w:t>注：除磋商文件明确的品牌外，欢迎其他能满足本项目技术需求且性能与所明确品牌、型号相当的产品参加。</w:t>
      </w:r>
    </w:p>
    <w:p>
      <w:pPr>
        <w:snapToGrid w:val="0"/>
        <w:spacing w:line="360" w:lineRule="auto"/>
        <w:ind w:firstLine="482" w:firstLineChars="200"/>
        <w:rPr>
          <w:rFonts w:ascii="仿宋" w:hAnsi="仿宋" w:eastAsia="仿宋" w:cs="仿宋"/>
          <w:b/>
          <w:bCs/>
          <w:color w:val="auto"/>
          <w:kern w:val="0"/>
          <w:sz w:val="24"/>
          <w:highlight w:val="none"/>
        </w:rPr>
      </w:pPr>
    </w:p>
    <w:p>
      <w:pPr>
        <w:snapToGrid w:val="0"/>
        <w:spacing w:line="360" w:lineRule="auto"/>
        <w:ind w:firstLine="482" w:firstLineChars="200"/>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四、安全责任</w:t>
      </w:r>
    </w:p>
    <w:p>
      <w:pPr>
        <w:snapToGrid w:val="0"/>
        <w:spacing w:line="360" w:lineRule="auto"/>
        <w:ind w:firstLine="600" w:firstLineChars="250"/>
        <w:rPr>
          <w:rFonts w:ascii="仿宋" w:hAnsi="仿宋" w:eastAsia="仿宋" w:cs="仿宋"/>
          <w:color w:val="auto"/>
          <w:sz w:val="24"/>
          <w:highlight w:val="none"/>
        </w:rPr>
      </w:pPr>
      <w:r>
        <w:rPr>
          <w:rFonts w:hint="eastAsia" w:ascii="仿宋" w:hAnsi="仿宋" w:eastAsia="仿宋" w:cs="仿宋"/>
          <w:color w:val="auto"/>
          <w:sz w:val="24"/>
          <w:highlight w:val="none"/>
        </w:rPr>
        <w:t>1、施工单位必须按规定办理有关保险。供应商应自行承担合同履行过程中的安全生产责任，如有任何人身意外伤害责任、财产损失，均与采购人无关，由供应商位承担全部责任和费用。</w:t>
      </w:r>
    </w:p>
    <w:p>
      <w:pPr>
        <w:snapToGrid w:val="0"/>
        <w:spacing w:line="360" w:lineRule="auto"/>
        <w:ind w:firstLine="600" w:firstLineChars="250"/>
        <w:rPr>
          <w:rFonts w:ascii="仿宋" w:hAnsi="仿宋" w:eastAsia="仿宋" w:cs="仿宋"/>
          <w:color w:val="auto"/>
          <w:sz w:val="24"/>
          <w:highlight w:val="none"/>
        </w:rPr>
      </w:pPr>
      <w:r>
        <w:rPr>
          <w:rFonts w:hint="eastAsia" w:ascii="仿宋" w:hAnsi="仿宋" w:eastAsia="仿宋" w:cs="仿宋"/>
          <w:color w:val="auto"/>
          <w:sz w:val="24"/>
          <w:highlight w:val="none"/>
        </w:rPr>
        <w:t>2、施工单位应制定安全生产计划、制定安全措施、施工注意安全防护、落实安全生产制度、设置专门的安全员、做好安全生产台账记录等。</w:t>
      </w:r>
    </w:p>
    <w:p>
      <w:pPr>
        <w:snapToGrid w:val="0"/>
        <w:spacing w:line="360" w:lineRule="auto"/>
        <w:ind w:firstLine="600" w:firstLineChars="250"/>
        <w:rPr>
          <w:rFonts w:ascii="仿宋" w:hAnsi="仿宋" w:eastAsia="仿宋" w:cs="仿宋"/>
          <w:color w:val="auto"/>
          <w:sz w:val="24"/>
          <w:highlight w:val="none"/>
        </w:rPr>
      </w:pPr>
      <w:r>
        <w:rPr>
          <w:rFonts w:hint="eastAsia" w:ascii="仿宋" w:hAnsi="仿宋" w:eastAsia="仿宋" w:cs="仿宋"/>
          <w:color w:val="auto"/>
          <w:sz w:val="24"/>
          <w:highlight w:val="none"/>
        </w:rPr>
        <w:t>3、在施工安装期间，施工单位负责所需的起重、运输、施工机械等辅助设施设备，所有设施设备都须符合安全作业要求。</w:t>
      </w:r>
    </w:p>
    <w:p>
      <w:pPr>
        <w:snapToGrid w:val="0"/>
        <w:spacing w:line="360" w:lineRule="auto"/>
        <w:ind w:firstLine="600" w:firstLineChars="250"/>
        <w:rPr>
          <w:rFonts w:ascii="仿宋" w:hAnsi="仿宋" w:eastAsia="仿宋" w:cs="仿宋"/>
          <w:color w:val="auto"/>
          <w:sz w:val="24"/>
          <w:highlight w:val="none"/>
        </w:rPr>
      </w:pPr>
      <w:r>
        <w:rPr>
          <w:rFonts w:hint="eastAsia" w:ascii="仿宋" w:hAnsi="仿宋" w:eastAsia="仿宋" w:cs="仿宋"/>
          <w:color w:val="auto"/>
          <w:sz w:val="24"/>
          <w:highlight w:val="none"/>
        </w:rPr>
        <w:t>4、质量保证期：供应商在质保期内，无故拒绝提供质量保修要求的服务或无故拒绝承担保修费用的，采购人有权通过法律途径向供应商提出索赔。</w:t>
      </w:r>
    </w:p>
    <w:p>
      <w:pPr>
        <w:snapToGrid w:val="0"/>
        <w:spacing w:line="360" w:lineRule="auto"/>
        <w:ind w:firstLine="482" w:firstLineChars="200"/>
        <w:rPr>
          <w:rFonts w:ascii="仿宋" w:hAnsi="仿宋" w:eastAsia="仿宋" w:cs="仿宋"/>
          <w:b/>
          <w:bCs/>
          <w:color w:val="auto"/>
          <w:kern w:val="0"/>
          <w:sz w:val="24"/>
          <w:highlight w:val="none"/>
        </w:rPr>
      </w:pPr>
    </w:p>
    <w:p>
      <w:pPr>
        <w:snapToGrid w:val="0"/>
        <w:spacing w:line="360" w:lineRule="auto"/>
        <w:ind w:firstLine="482" w:firstLineChars="200"/>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五、项目质量目标</w:t>
      </w:r>
    </w:p>
    <w:p>
      <w:pPr>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1、符合（工程施工质量验收规范）合格标准。</w:t>
      </w:r>
    </w:p>
    <w:p>
      <w:pPr>
        <w:snapToGrid w:val="0"/>
        <w:spacing w:line="360" w:lineRule="auto"/>
        <w:ind w:firstLine="482" w:firstLineChars="200"/>
        <w:rPr>
          <w:rFonts w:ascii="仿宋" w:hAnsi="仿宋" w:eastAsia="仿宋" w:cs="仿宋"/>
          <w:b/>
          <w:bCs/>
          <w:color w:val="auto"/>
          <w:kern w:val="0"/>
          <w:sz w:val="24"/>
          <w:highlight w:val="none"/>
        </w:rPr>
      </w:pPr>
    </w:p>
    <w:p>
      <w:pPr>
        <w:snapToGrid w:val="0"/>
        <w:spacing w:line="360" w:lineRule="auto"/>
        <w:ind w:firstLine="482" w:firstLineChars="200"/>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六.其他商务要求</w:t>
      </w:r>
    </w:p>
    <w:p>
      <w:pPr>
        <w:spacing w:line="360" w:lineRule="auto"/>
        <w:ind w:firstLine="482" w:firstLineChars="200"/>
        <w:jc w:val="left"/>
        <w:rPr>
          <w:rFonts w:ascii="仿宋" w:hAnsi="仿宋" w:eastAsia="仿宋" w:cs="仿宋"/>
          <w:color w:val="auto"/>
          <w:kern w:val="0"/>
          <w:sz w:val="24"/>
          <w:highlight w:val="none"/>
        </w:rPr>
      </w:pPr>
      <w:r>
        <w:rPr>
          <w:rFonts w:hint="eastAsia" w:ascii="仿宋" w:hAnsi="仿宋" w:eastAsia="仿宋" w:cs="仿宋"/>
          <w:b/>
          <w:bCs/>
          <w:color w:val="auto"/>
          <w:kern w:val="0"/>
          <w:sz w:val="24"/>
          <w:highlight w:val="none"/>
        </w:rPr>
        <w:t>▲1、修缮、装修类项目采购建材的，采购人应将绿色建筑和绿色建材性能、指标等作为实质性条件。供应商在磋商响应时须承诺响应该要求，承诺格式详见采购文件第六部分。</w:t>
      </w:r>
    </w:p>
    <w:p>
      <w:pPr>
        <w:spacing w:line="360" w:lineRule="auto"/>
        <w:ind w:firstLine="480" w:firstLineChars="200"/>
        <w:jc w:val="left"/>
        <w:rPr>
          <w:rFonts w:ascii="宋体" w:hAnsi="宋体" w:cs="宋体"/>
          <w:snapToGrid w:val="0"/>
          <w:color w:val="auto"/>
          <w:kern w:val="0"/>
          <w:sz w:val="24"/>
          <w:highlight w:val="none"/>
        </w:rPr>
      </w:pPr>
      <w:r>
        <w:rPr>
          <w:rFonts w:hint="eastAsia" w:ascii="仿宋" w:hAnsi="仿宋" w:eastAsia="仿宋" w:cs="仿宋"/>
          <w:color w:val="auto"/>
          <w:kern w:val="0"/>
          <w:sz w:val="24"/>
          <w:highlight w:val="none"/>
        </w:rPr>
        <w:t>2、为助力打好污染防治攻坚战，推广使用绿色包装，政府采购货物、工程和服务项目中涉及商品包装和快递包装的，施工单位提供产品及相关快递服务的具体包装要求要参考《商品包装政府采购需求标准（试行）》、《快递包装政府采购需求标准（试行）》。</w:t>
      </w:r>
    </w:p>
    <w:p>
      <w:pPr>
        <w:spacing w:line="360" w:lineRule="auto"/>
        <w:ind w:firstLine="482" w:firstLineChars="200"/>
        <w:jc w:val="left"/>
        <w:rPr>
          <w:rFonts w:ascii="仿宋" w:hAnsi="仿宋" w:eastAsia="仿宋" w:cs="仿宋"/>
          <w:color w:val="auto"/>
          <w:kern w:val="0"/>
          <w:sz w:val="24"/>
          <w:highlight w:val="none"/>
        </w:rPr>
      </w:pPr>
      <w:r>
        <w:rPr>
          <w:rFonts w:hint="eastAsia" w:ascii="仿宋" w:hAnsi="仿宋" w:eastAsia="仿宋" w:cs="仿宋"/>
          <w:b/>
          <w:bCs/>
          <w:color w:val="auto"/>
          <w:kern w:val="0"/>
          <w:sz w:val="24"/>
          <w:highlight w:val="none"/>
          <w:u w:val="single"/>
        </w:rPr>
        <w:t>▲3、项目人员要求：项目负责人具有</w:t>
      </w:r>
      <w:r>
        <w:rPr>
          <w:rFonts w:hint="eastAsia" w:ascii="仿宋" w:hAnsi="仿宋" w:eastAsia="仿宋" w:cs="仿宋"/>
          <w:b/>
          <w:bCs/>
          <w:color w:val="auto"/>
          <w:kern w:val="0"/>
          <w:sz w:val="24"/>
          <w:highlight w:val="none"/>
          <w:u w:val="single"/>
        </w:rPr>
        <w:t>建筑工程专业二级</w:t>
      </w:r>
      <w:r>
        <w:rPr>
          <w:rFonts w:hint="eastAsia" w:ascii="仿宋" w:hAnsi="仿宋" w:eastAsia="仿宋" w:cs="仿宋"/>
          <w:b/>
          <w:bCs/>
          <w:color w:val="auto"/>
          <w:kern w:val="0"/>
          <w:sz w:val="24"/>
          <w:highlight w:val="none"/>
          <w:u w:val="single"/>
        </w:rPr>
        <w:t>及以上建造师资格证书且具有有效的安全考核证书B证。</w:t>
      </w:r>
    </w:p>
    <w:p>
      <w:pPr>
        <w:rPr>
          <w:rFonts w:ascii="宋体" w:hAnsi="宋体" w:cs="宋体"/>
          <w:snapToGrid w:val="0"/>
          <w:color w:val="auto"/>
          <w:kern w:val="0"/>
          <w:sz w:val="24"/>
          <w:highlight w:val="none"/>
        </w:rPr>
      </w:pPr>
    </w:p>
    <w:p>
      <w:pPr>
        <w:snapToGrid w:val="0"/>
        <w:spacing w:line="360" w:lineRule="auto"/>
        <w:jc w:val="center"/>
        <w:rPr>
          <w:rFonts w:ascii="宋体" w:hAnsi="宋体" w:cs="宋体"/>
          <w:b/>
          <w:color w:val="auto"/>
          <w:sz w:val="36"/>
          <w:szCs w:val="20"/>
          <w:highlight w:val="none"/>
        </w:rPr>
      </w:pPr>
      <w:r>
        <w:rPr>
          <w:rFonts w:hint="eastAsia" w:ascii="宋体" w:hAnsi="宋体" w:cs="宋体"/>
          <w:b/>
          <w:color w:val="auto"/>
          <w:sz w:val="24"/>
          <w:highlight w:val="none"/>
        </w:rPr>
        <w:br w:type="page"/>
      </w:r>
      <w:r>
        <w:rPr>
          <w:rFonts w:hint="eastAsia" w:ascii="宋体" w:hAnsi="宋体" w:cs="宋体"/>
          <w:b/>
          <w:color w:val="auto"/>
          <w:sz w:val="36"/>
          <w:szCs w:val="20"/>
          <w:highlight w:val="none"/>
        </w:rPr>
        <w:t>第四部分</w:t>
      </w:r>
      <w:bookmarkStart w:id="33" w:name="_Toc184312086"/>
      <w:bookmarkEnd w:id="33"/>
      <w:bookmarkStart w:id="34" w:name="_Toc184308062"/>
      <w:bookmarkEnd w:id="34"/>
      <w:bookmarkStart w:id="35" w:name="_Toc184308058"/>
      <w:bookmarkEnd w:id="35"/>
      <w:bookmarkStart w:id="36" w:name="_Toc184310328"/>
      <w:bookmarkEnd w:id="36"/>
      <w:bookmarkStart w:id="37" w:name="_Toc184313289"/>
      <w:bookmarkEnd w:id="37"/>
      <w:bookmarkStart w:id="38" w:name="_Toc184310332"/>
      <w:bookmarkEnd w:id="38"/>
      <w:bookmarkStart w:id="39" w:name="_Toc184310273"/>
      <w:bookmarkEnd w:id="39"/>
      <w:bookmarkStart w:id="40" w:name="_Toc184312079"/>
      <w:bookmarkEnd w:id="40"/>
      <w:bookmarkStart w:id="41" w:name="_Toc184312107"/>
      <w:bookmarkEnd w:id="41"/>
      <w:bookmarkStart w:id="42" w:name="_Toc184314475"/>
      <w:bookmarkEnd w:id="42"/>
      <w:bookmarkStart w:id="43" w:name="_Toc184312067"/>
      <w:bookmarkEnd w:id="43"/>
      <w:bookmarkStart w:id="44" w:name="_Toc184312082"/>
      <w:bookmarkEnd w:id="44"/>
      <w:bookmarkStart w:id="45" w:name="_Toc184310283"/>
      <w:bookmarkEnd w:id="45"/>
      <w:bookmarkStart w:id="46" w:name="_Toc184308050"/>
      <w:bookmarkEnd w:id="46"/>
      <w:bookmarkStart w:id="47" w:name="_Toc184313246"/>
      <w:bookmarkEnd w:id="47"/>
      <w:bookmarkStart w:id="48" w:name="_Toc184312099"/>
      <w:bookmarkEnd w:id="48"/>
      <w:bookmarkStart w:id="49" w:name="_Toc184314418"/>
      <w:bookmarkEnd w:id="49"/>
      <w:bookmarkStart w:id="50" w:name="_Toc184314422"/>
      <w:bookmarkEnd w:id="50"/>
      <w:bookmarkStart w:id="51" w:name="_Toc184308080"/>
      <w:bookmarkEnd w:id="51"/>
      <w:bookmarkStart w:id="52" w:name="_Toc184308082"/>
      <w:bookmarkEnd w:id="52"/>
      <w:bookmarkStart w:id="53" w:name="_Toc184314454"/>
      <w:bookmarkEnd w:id="53"/>
      <w:bookmarkStart w:id="54" w:name="_Toc184308063"/>
      <w:bookmarkEnd w:id="54"/>
      <w:bookmarkStart w:id="55" w:name="_Toc184310281"/>
      <w:bookmarkEnd w:id="55"/>
      <w:bookmarkStart w:id="56" w:name="_Toc184312106"/>
      <w:bookmarkEnd w:id="56"/>
      <w:bookmarkStart w:id="57" w:name="_Toc184308092"/>
      <w:bookmarkEnd w:id="57"/>
      <w:bookmarkStart w:id="58" w:name="_Toc184308059"/>
      <w:bookmarkEnd w:id="58"/>
      <w:bookmarkStart w:id="59" w:name="_Toc184313270"/>
      <w:bookmarkEnd w:id="59"/>
      <w:bookmarkStart w:id="60" w:name="_Toc184310306"/>
      <w:bookmarkEnd w:id="60"/>
      <w:bookmarkStart w:id="61" w:name="_Toc184313308"/>
      <w:bookmarkEnd w:id="61"/>
      <w:bookmarkStart w:id="62" w:name="_Toc184310312"/>
      <w:bookmarkEnd w:id="62"/>
      <w:bookmarkStart w:id="63" w:name="_Toc184313252"/>
      <w:bookmarkEnd w:id="63"/>
      <w:bookmarkStart w:id="64" w:name="_Toc184310280"/>
      <w:bookmarkEnd w:id="64"/>
      <w:bookmarkStart w:id="65" w:name="_Toc184308039"/>
      <w:bookmarkEnd w:id="65"/>
      <w:bookmarkStart w:id="66" w:name="_Toc184314421"/>
      <w:bookmarkEnd w:id="66"/>
      <w:bookmarkStart w:id="67" w:name="_Toc184312102"/>
      <w:bookmarkEnd w:id="67"/>
      <w:bookmarkStart w:id="68" w:name="_Toc184312072"/>
      <w:bookmarkEnd w:id="68"/>
      <w:bookmarkStart w:id="69" w:name="_Toc184312114"/>
      <w:bookmarkEnd w:id="69"/>
      <w:bookmarkStart w:id="70" w:name="_Toc184314436"/>
      <w:bookmarkEnd w:id="70"/>
      <w:bookmarkStart w:id="71" w:name="_Toc184312088"/>
      <w:bookmarkEnd w:id="71"/>
      <w:bookmarkStart w:id="72" w:name="_Toc184310285"/>
      <w:bookmarkEnd w:id="72"/>
      <w:bookmarkStart w:id="73" w:name="_Toc184308041"/>
      <w:bookmarkEnd w:id="73"/>
      <w:bookmarkStart w:id="74" w:name="_Toc184313280"/>
      <w:bookmarkEnd w:id="74"/>
      <w:bookmarkStart w:id="75" w:name="_Toc184312098"/>
      <w:bookmarkEnd w:id="75"/>
      <w:bookmarkStart w:id="76" w:name="_Toc184313239"/>
      <w:bookmarkEnd w:id="76"/>
      <w:bookmarkStart w:id="77" w:name="_Toc184313291"/>
      <w:bookmarkEnd w:id="77"/>
      <w:bookmarkStart w:id="78" w:name="_Toc184310282"/>
      <w:bookmarkEnd w:id="78"/>
      <w:bookmarkStart w:id="79" w:name="_Toc184310322"/>
      <w:bookmarkEnd w:id="79"/>
      <w:bookmarkStart w:id="80" w:name="_Toc184312123"/>
      <w:bookmarkEnd w:id="80"/>
      <w:bookmarkStart w:id="81" w:name="_Toc184314438"/>
      <w:bookmarkEnd w:id="81"/>
      <w:bookmarkStart w:id="82" w:name="_Toc184312094"/>
      <w:bookmarkEnd w:id="82"/>
      <w:bookmarkStart w:id="83" w:name="_Toc184312093"/>
      <w:bookmarkEnd w:id="83"/>
      <w:bookmarkStart w:id="84" w:name="_Toc184314458"/>
      <w:bookmarkEnd w:id="84"/>
      <w:bookmarkStart w:id="85" w:name="_Toc184313279"/>
      <w:bookmarkEnd w:id="85"/>
      <w:bookmarkStart w:id="86" w:name="_Toc184308074"/>
      <w:bookmarkEnd w:id="86"/>
      <w:bookmarkStart w:id="87" w:name="_Toc184310297"/>
      <w:bookmarkEnd w:id="87"/>
      <w:bookmarkStart w:id="88" w:name="_Toc184313284"/>
      <w:bookmarkEnd w:id="88"/>
      <w:bookmarkStart w:id="89" w:name="_Toc184312121"/>
      <w:bookmarkEnd w:id="89"/>
      <w:bookmarkStart w:id="90" w:name="_Toc184314446"/>
      <w:bookmarkEnd w:id="90"/>
      <w:bookmarkStart w:id="91" w:name="_Toc184314452"/>
      <w:bookmarkEnd w:id="91"/>
      <w:bookmarkStart w:id="92" w:name="_Toc184314442"/>
      <w:bookmarkEnd w:id="92"/>
      <w:bookmarkStart w:id="93" w:name="_Toc184314459"/>
      <w:bookmarkEnd w:id="93"/>
      <w:bookmarkStart w:id="94" w:name="_Toc184310314"/>
      <w:bookmarkEnd w:id="94"/>
      <w:bookmarkStart w:id="95" w:name="_Toc184310305"/>
      <w:bookmarkEnd w:id="95"/>
      <w:bookmarkStart w:id="96" w:name="_Toc184314472"/>
      <w:bookmarkEnd w:id="96"/>
      <w:bookmarkStart w:id="97" w:name="_Toc184314432"/>
      <w:bookmarkEnd w:id="97"/>
      <w:bookmarkStart w:id="98" w:name="_Toc184313278"/>
      <w:bookmarkEnd w:id="98"/>
      <w:bookmarkStart w:id="99" w:name="_Toc184308045"/>
      <w:bookmarkEnd w:id="99"/>
      <w:bookmarkStart w:id="100" w:name="_Toc184314440"/>
      <w:bookmarkEnd w:id="100"/>
      <w:bookmarkStart w:id="101" w:name="_Toc184314462"/>
      <w:bookmarkEnd w:id="101"/>
      <w:bookmarkStart w:id="102" w:name="_Toc184308047"/>
      <w:bookmarkEnd w:id="102"/>
      <w:bookmarkStart w:id="103" w:name="_Toc184310337"/>
      <w:bookmarkEnd w:id="103"/>
      <w:bookmarkStart w:id="104" w:name="_Toc184310316"/>
      <w:bookmarkEnd w:id="104"/>
      <w:bookmarkStart w:id="105" w:name="_Toc184310340"/>
      <w:bookmarkEnd w:id="105"/>
      <w:bookmarkStart w:id="106" w:name="_Toc184308056"/>
      <w:bookmarkEnd w:id="106"/>
      <w:bookmarkStart w:id="107" w:name="_Toc184308068"/>
      <w:bookmarkEnd w:id="107"/>
      <w:bookmarkStart w:id="108" w:name="_Toc184310275"/>
      <w:bookmarkEnd w:id="108"/>
      <w:bookmarkStart w:id="109" w:name="_Toc184310295"/>
      <w:bookmarkEnd w:id="109"/>
      <w:bookmarkStart w:id="110" w:name="_Toc184312089"/>
      <w:bookmarkEnd w:id="110"/>
      <w:bookmarkStart w:id="111" w:name="_Toc184312136"/>
      <w:bookmarkEnd w:id="111"/>
      <w:bookmarkStart w:id="112" w:name="_Toc184310318"/>
      <w:bookmarkEnd w:id="112"/>
      <w:bookmarkStart w:id="113" w:name="_Toc184314476"/>
      <w:bookmarkEnd w:id="113"/>
      <w:bookmarkStart w:id="114" w:name="_Toc184312068"/>
      <w:bookmarkEnd w:id="114"/>
      <w:bookmarkStart w:id="115" w:name="_Toc184312097"/>
      <w:bookmarkEnd w:id="115"/>
      <w:bookmarkStart w:id="116" w:name="_Toc184310294"/>
      <w:bookmarkEnd w:id="116"/>
      <w:bookmarkStart w:id="117" w:name="_Toc184310302"/>
      <w:bookmarkEnd w:id="117"/>
      <w:bookmarkStart w:id="118" w:name="_Toc184314439"/>
      <w:bookmarkEnd w:id="118"/>
      <w:bookmarkStart w:id="119" w:name="_Toc184313286"/>
      <w:bookmarkEnd w:id="119"/>
      <w:bookmarkStart w:id="120" w:name="_Toc184314467"/>
      <w:bookmarkEnd w:id="120"/>
      <w:bookmarkStart w:id="121" w:name="_Toc184308060"/>
      <w:bookmarkEnd w:id="121"/>
      <w:bookmarkStart w:id="122" w:name="_Toc184313309"/>
      <w:bookmarkEnd w:id="122"/>
      <w:bookmarkStart w:id="123" w:name="_Toc184308098"/>
      <w:bookmarkEnd w:id="123"/>
      <w:bookmarkStart w:id="124" w:name="_Toc184313304"/>
      <w:bookmarkEnd w:id="124"/>
      <w:bookmarkStart w:id="125" w:name="_Toc184313261"/>
      <w:bookmarkEnd w:id="125"/>
      <w:bookmarkStart w:id="126" w:name="_Toc184314445"/>
      <w:bookmarkEnd w:id="126"/>
      <w:bookmarkStart w:id="127" w:name="_Toc184312096"/>
      <w:bookmarkEnd w:id="127"/>
      <w:bookmarkStart w:id="128" w:name="_Toc184308079"/>
      <w:bookmarkEnd w:id="128"/>
      <w:bookmarkStart w:id="129" w:name="_Toc184308085"/>
      <w:bookmarkEnd w:id="129"/>
      <w:bookmarkStart w:id="130" w:name="_Toc184310343"/>
      <w:bookmarkEnd w:id="130"/>
      <w:bookmarkStart w:id="131" w:name="_Toc184310327"/>
      <w:bookmarkEnd w:id="131"/>
      <w:bookmarkStart w:id="132" w:name="_Toc184313310"/>
      <w:bookmarkEnd w:id="132"/>
      <w:bookmarkStart w:id="133" w:name="_Toc184314478"/>
      <w:bookmarkEnd w:id="133"/>
      <w:bookmarkStart w:id="134" w:name="_Toc184308078"/>
      <w:bookmarkEnd w:id="134"/>
      <w:bookmarkStart w:id="135" w:name="_Toc184314457"/>
      <w:bookmarkEnd w:id="135"/>
      <w:bookmarkStart w:id="136" w:name="_Toc184308081"/>
      <w:bookmarkEnd w:id="136"/>
      <w:bookmarkStart w:id="137" w:name="_Toc184312120"/>
      <w:bookmarkEnd w:id="137"/>
      <w:bookmarkStart w:id="138" w:name="_Toc184308089"/>
      <w:bookmarkEnd w:id="138"/>
      <w:bookmarkStart w:id="139" w:name="_Toc184310336"/>
      <w:bookmarkEnd w:id="139"/>
      <w:bookmarkStart w:id="140" w:name="_Toc184308088"/>
      <w:bookmarkEnd w:id="140"/>
      <w:bookmarkStart w:id="141" w:name="_Toc184313287"/>
      <w:bookmarkEnd w:id="141"/>
      <w:bookmarkStart w:id="142" w:name="_Toc184310286"/>
      <w:bookmarkEnd w:id="142"/>
      <w:bookmarkStart w:id="143" w:name="_Toc184308107"/>
      <w:bookmarkEnd w:id="143"/>
      <w:bookmarkStart w:id="144" w:name="_Toc184308044"/>
      <w:bookmarkEnd w:id="144"/>
      <w:bookmarkStart w:id="145" w:name="_Toc184313281"/>
      <w:bookmarkEnd w:id="145"/>
      <w:bookmarkStart w:id="146" w:name="_Toc184310324"/>
      <w:bookmarkEnd w:id="146"/>
      <w:bookmarkStart w:id="147" w:name="_Toc184308061"/>
      <w:bookmarkEnd w:id="147"/>
      <w:bookmarkStart w:id="148" w:name="_Toc184312076"/>
      <w:bookmarkEnd w:id="148"/>
      <w:bookmarkStart w:id="149" w:name="_Toc184314463"/>
      <w:bookmarkEnd w:id="149"/>
      <w:bookmarkStart w:id="150" w:name="_Toc184314433"/>
      <w:bookmarkEnd w:id="150"/>
      <w:bookmarkStart w:id="151" w:name="_Toc184313263"/>
      <w:bookmarkEnd w:id="151"/>
      <w:bookmarkStart w:id="152" w:name="_Toc184312084"/>
      <w:bookmarkEnd w:id="152"/>
      <w:bookmarkStart w:id="153" w:name="_Toc184314410"/>
      <w:bookmarkEnd w:id="153"/>
      <w:bookmarkStart w:id="154" w:name="_Toc184314474"/>
      <w:bookmarkEnd w:id="154"/>
      <w:bookmarkStart w:id="155" w:name="_Toc184310315"/>
      <w:bookmarkEnd w:id="155"/>
      <w:bookmarkStart w:id="156" w:name="_Toc184314420"/>
      <w:bookmarkEnd w:id="156"/>
      <w:bookmarkStart w:id="157" w:name="_Toc184314473"/>
      <w:bookmarkEnd w:id="157"/>
      <w:bookmarkStart w:id="158" w:name="_Toc184314471"/>
      <w:bookmarkEnd w:id="158"/>
      <w:bookmarkStart w:id="159" w:name="_Toc184308097"/>
      <w:bookmarkEnd w:id="159"/>
      <w:bookmarkStart w:id="160" w:name="_Toc184312124"/>
      <w:bookmarkEnd w:id="160"/>
      <w:bookmarkStart w:id="161" w:name="_Toc184312105"/>
      <w:bookmarkEnd w:id="161"/>
      <w:bookmarkStart w:id="162" w:name="_Toc184313257"/>
      <w:bookmarkEnd w:id="162"/>
      <w:bookmarkStart w:id="163" w:name="_Toc184312130"/>
      <w:bookmarkEnd w:id="163"/>
      <w:bookmarkStart w:id="164" w:name="_Toc184310276"/>
      <w:bookmarkEnd w:id="164"/>
      <w:bookmarkStart w:id="165" w:name="_Toc184310300"/>
      <w:bookmarkEnd w:id="165"/>
      <w:bookmarkStart w:id="166" w:name="_Toc184313258"/>
      <w:bookmarkEnd w:id="166"/>
      <w:bookmarkStart w:id="167" w:name="_Toc184312069"/>
      <w:bookmarkEnd w:id="167"/>
      <w:bookmarkStart w:id="168" w:name="_Toc184310289"/>
      <w:bookmarkEnd w:id="168"/>
      <w:bookmarkStart w:id="169" w:name="_Toc184308040"/>
      <w:bookmarkEnd w:id="169"/>
      <w:bookmarkStart w:id="170" w:name="_Toc184312137"/>
      <w:bookmarkEnd w:id="170"/>
      <w:bookmarkStart w:id="171" w:name="_Toc184314480"/>
      <w:bookmarkEnd w:id="171"/>
      <w:bookmarkStart w:id="172" w:name="_Toc184310298"/>
      <w:bookmarkEnd w:id="172"/>
      <w:bookmarkStart w:id="173" w:name="_Toc184308101"/>
      <w:bookmarkEnd w:id="173"/>
      <w:bookmarkStart w:id="174" w:name="_Toc184314426"/>
      <w:bookmarkEnd w:id="174"/>
      <w:bookmarkStart w:id="175" w:name="_Toc184308064"/>
      <w:bookmarkEnd w:id="175"/>
      <w:bookmarkStart w:id="176" w:name="_Toc184312075"/>
      <w:bookmarkEnd w:id="176"/>
      <w:bookmarkStart w:id="177" w:name="_Toc184310290"/>
      <w:bookmarkEnd w:id="177"/>
      <w:bookmarkStart w:id="178" w:name="_Toc184310313"/>
      <w:bookmarkEnd w:id="178"/>
      <w:bookmarkStart w:id="179" w:name="_Toc184310296"/>
      <w:bookmarkEnd w:id="179"/>
      <w:bookmarkStart w:id="180" w:name="_Toc184310278"/>
      <w:bookmarkEnd w:id="180"/>
      <w:bookmarkStart w:id="181" w:name="_Toc184308067"/>
      <w:bookmarkEnd w:id="181"/>
      <w:bookmarkStart w:id="182" w:name="_Toc184312095"/>
      <w:bookmarkEnd w:id="182"/>
      <w:bookmarkStart w:id="183" w:name="_Toc184312092"/>
      <w:bookmarkEnd w:id="183"/>
      <w:bookmarkStart w:id="184" w:name="_Toc184313264"/>
      <w:bookmarkEnd w:id="184"/>
      <w:bookmarkStart w:id="185" w:name="_Toc184313295"/>
      <w:bookmarkEnd w:id="185"/>
      <w:bookmarkStart w:id="186" w:name="_Toc184308043"/>
      <w:bookmarkEnd w:id="186"/>
      <w:bookmarkStart w:id="187" w:name="_Toc184313249"/>
      <w:bookmarkEnd w:id="187"/>
      <w:bookmarkStart w:id="188" w:name="_Toc184314429"/>
      <w:bookmarkEnd w:id="188"/>
      <w:bookmarkStart w:id="189" w:name="_Toc184312119"/>
      <w:bookmarkEnd w:id="189"/>
      <w:bookmarkStart w:id="190" w:name="_Toc184308069"/>
      <w:bookmarkEnd w:id="190"/>
      <w:bookmarkStart w:id="191" w:name="_Toc184310323"/>
      <w:bookmarkEnd w:id="191"/>
      <w:bookmarkStart w:id="192" w:name="_Toc184310307"/>
      <w:bookmarkEnd w:id="192"/>
      <w:bookmarkStart w:id="193" w:name="_Toc184310272"/>
      <w:bookmarkEnd w:id="193"/>
      <w:bookmarkStart w:id="194" w:name="_Toc184314414"/>
      <w:bookmarkEnd w:id="194"/>
      <w:bookmarkStart w:id="195" w:name="_Toc184312108"/>
      <w:bookmarkEnd w:id="195"/>
      <w:bookmarkStart w:id="196" w:name="_Toc184314437"/>
      <w:bookmarkEnd w:id="196"/>
      <w:bookmarkStart w:id="197" w:name="_Toc184313266"/>
      <w:bookmarkEnd w:id="197"/>
      <w:bookmarkStart w:id="198" w:name="_Toc184308084"/>
      <w:bookmarkEnd w:id="198"/>
      <w:bookmarkStart w:id="199" w:name="_Toc184313262"/>
      <w:bookmarkEnd w:id="199"/>
      <w:bookmarkStart w:id="200" w:name="_Toc184313277"/>
      <w:bookmarkEnd w:id="200"/>
      <w:bookmarkStart w:id="201" w:name="_Toc184308077"/>
      <w:bookmarkEnd w:id="201"/>
      <w:bookmarkStart w:id="202" w:name="_Toc184313253"/>
      <w:bookmarkEnd w:id="202"/>
      <w:bookmarkStart w:id="203" w:name="_Toc184313288"/>
      <w:bookmarkEnd w:id="203"/>
      <w:bookmarkStart w:id="204" w:name="_Toc184313282"/>
      <w:bookmarkEnd w:id="204"/>
      <w:bookmarkStart w:id="205" w:name="_Toc184313305"/>
      <w:bookmarkEnd w:id="205"/>
      <w:bookmarkStart w:id="206" w:name="_Toc184314448"/>
      <w:bookmarkEnd w:id="206"/>
      <w:bookmarkStart w:id="207" w:name="_Toc184314465"/>
      <w:bookmarkEnd w:id="207"/>
      <w:bookmarkStart w:id="208" w:name="_Toc184308070"/>
      <w:bookmarkEnd w:id="208"/>
      <w:bookmarkStart w:id="209" w:name="_Toc184310308"/>
      <w:bookmarkEnd w:id="209"/>
      <w:bookmarkStart w:id="210" w:name="_Toc184312129"/>
      <w:bookmarkEnd w:id="210"/>
      <w:bookmarkStart w:id="211" w:name="_Toc184313238"/>
      <w:bookmarkEnd w:id="211"/>
      <w:bookmarkStart w:id="212" w:name="_Toc184314412"/>
      <w:bookmarkEnd w:id="212"/>
      <w:bookmarkStart w:id="213" w:name="_Toc184313274"/>
      <w:bookmarkEnd w:id="213"/>
      <w:bookmarkStart w:id="214" w:name="_Toc184314456"/>
      <w:bookmarkEnd w:id="214"/>
      <w:bookmarkStart w:id="215" w:name="_Toc184314469"/>
      <w:bookmarkEnd w:id="215"/>
      <w:bookmarkStart w:id="216" w:name="_Toc184313306"/>
      <w:bookmarkEnd w:id="216"/>
      <w:bookmarkStart w:id="217" w:name="_Toc184310288"/>
      <w:bookmarkEnd w:id="217"/>
      <w:bookmarkStart w:id="218" w:name="_Toc184312132"/>
      <w:bookmarkEnd w:id="218"/>
      <w:bookmarkStart w:id="219" w:name="_Toc184312080"/>
      <w:bookmarkEnd w:id="219"/>
      <w:bookmarkStart w:id="220" w:name="_Toc184308096"/>
      <w:bookmarkEnd w:id="220"/>
      <w:bookmarkStart w:id="221" w:name="_Toc184313296"/>
      <w:bookmarkEnd w:id="221"/>
      <w:bookmarkStart w:id="222" w:name="_Toc184310319"/>
      <w:bookmarkEnd w:id="222"/>
      <w:bookmarkStart w:id="223" w:name="_Toc184313297"/>
      <w:bookmarkEnd w:id="223"/>
      <w:bookmarkStart w:id="224" w:name="_Toc184313240"/>
      <w:bookmarkEnd w:id="224"/>
      <w:bookmarkStart w:id="225" w:name="_Toc184312138"/>
      <w:bookmarkEnd w:id="225"/>
      <w:bookmarkStart w:id="226" w:name="_Toc184308046"/>
      <w:bookmarkEnd w:id="226"/>
      <w:bookmarkStart w:id="227" w:name="_Toc184314451"/>
      <w:bookmarkEnd w:id="227"/>
      <w:bookmarkStart w:id="228" w:name="_Toc184313251"/>
      <w:bookmarkEnd w:id="228"/>
      <w:bookmarkStart w:id="229" w:name="_Toc184313254"/>
      <w:bookmarkEnd w:id="229"/>
      <w:bookmarkStart w:id="230" w:name="_Toc184313265"/>
      <w:bookmarkEnd w:id="230"/>
      <w:bookmarkStart w:id="231" w:name="_Toc184308087"/>
      <w:bookmarkEnd w:id="231"/>
      <w:bookmarkStart w:id="232" w:name="_Toc184310292"/>
      <w:bookmarkEnd w:id="232"/>
      <w:bookmarkStart w:id="233" w:name="_Toc184314417"/>
      <w:bookmarkEnd w:id="233"/>
      <w:bookmarkStart w:id="234" w:name="_Toc184313271"/>
      <w:bookmarkEnd w:id="234"/>
      <w:bookmarkStart w:id="235" w:name="_Toc184308104"/>
      <w:bookmarkEnd w:id="235"/>
      <w:bookmarkStart w:id="236" w:name="_Toc184313283"/>
      <w:bookmarkEnd w:id="236"/>
      <w:bookmarkStart w:id="237" w:name="_Toc184314416"/>
      <w:bookmarkEnd w:id="237"/>
      <w:bookmarkStart w:id="238" w:name="_Toc184308100"/>
      <w:bookmarkEnd w:id="238"/>
      <w:bookmarkStart w:id="239" w:name="_Toc184310335"/>
      <w:bookmarkEnd w:id="239"/>
      <w:bookmarkStart w:id="240" w:name="_Toc184314431"/>
      <w:bookmarkEnd w:id="240"/>
      <w:bookmarkStart w:id="241" w:name="_Toc184314424"/>
      <w:bookmarkEnd w:id="241"/>
      <w:bookmarkStart w:id="242" w:name="_Toc184313285"/>
      <w:bookmarkEnd w:id="242"/>
      <w:bookmarkStart w:id="243" w:name="_Toc184312118"/>
      <w:bookmarkEnd w:id="243"/>
      <w:bookmarkStart w:id="244" w:name="_Toc184313302"/>
      <w:bookmarkEnd w:id="244"/>
      <w:bookmarkStart w:id="245" w:name="_Toc184312112"/>
      <w:bookmarkEnd w:id="245"/>
      <w:bookmarkStart w:id="246" w:name="_Toc184314461"/>
      <w:bookmarkEnd w:id="246"/>
      <w:bookmarkStart w:id="247" w:name="_Toc184314419"/>
      <w:bookmarkEnd w:id="247"/>
      <w:bookmarkStart w:id="248" w:name="_Toc184313244"/>
      <w:bookmarkEnd w:id="248"/>
      <w:bookmarkStart w:id="249" w:name="_Toc184312116"/>
      <w:bookmarkEnd w:id="249"/>
      <w:bookmarkStart w:id="250" w:name="_Toc184310338"/>
      <w:bookmarkEnd w:id="250"/>
      <w:bookmarkStart w:id="251" w:name="_Toc184313260"/>
      <w:bookmarkEnd w:id="251"/>
      <w:bookmarkStart w:id="252" w:name="_Toc184308076"/>
      <w:bookmarkEnd w:id="252"/>
      <w:bookmarkStart w:id="253" w:name="_Toc184308090"/>
      <w:bookmarkEnd w:id="253"/>
      <w:bookmarkStart w:id="254" w:name="_Toc184314444"/>
      <w:bookmarkEnd w:id="254"/>
      <w:bookmarkStart w:id="255" w:name="_Toc184314450"/>
      <w:bookmarkEnd w:id="255"/>
      <w:bookmarkStart w:id="256" w:name="_Toc184308105"/>
      <w:bookmarkEnd w:id="256"/>
      <w:bookmarkStart w:id="257" w:name="_Toc184308086"/>
      <w:bookmarkEnd w:id="257"/>
      <w:bookmarkStart w:id="258" w:name="_Toc184313301"/>
      <w:bookmarkEnd w:id="258"/>
      <w:bookmarkStart w:id="259" w:name="_Toc184312109"/>
      <w:bookmarkEnd w:id="259"/>
      <w:bookmarkStart w:id="260" w:name="_Toc184308057"/>
      <w:bookmarkEnd w:id="260"/>
      <w:bookmarkStart w:id="261" w:name="_Toc184310341"/>
      <w:bookmarkEnd w:id="261"/>
      <w:bookmarkStart w:id="262" w:name="_Toc184308108"/>
      <w:bookmarkEnd w:id="262"/>
      <w:bookmarkStart w:id="263" w:name="_Toc184312103"/>
      <w:bookmarkEnd w:id="263"/>
      <w:bookmarkStart w:id="264" w:name="_Toc184313259"/>
      <w:bookmarkEnd w:id="264"/>
      <w:bookmarkStart w:id="265" w:name="_Toc184312101"/>
      <w:bookmarkEnd w:id="265"/>
      <w:bookmarkStart w:id="266" w:name="_Toc184312122"/>
      <w:bookmarkEnd w:id="266"/>
      <w:bookmarkStart w:id="267" w:name="_Toc184312090"/>
      <w:bookmarkEnd w:id="267"/>
      <w:bookmarkStart w:id="268" w:name="_Toc184312074"/>
      <w:bookmarkEnd w:id="268"/>
      <w:bookmarkStart w:id="269" w:name="_Toc184308054"/>
      <w:bookmarkEnd w:id="269"/>
      <w:bookmarkStart w:id="270" w:name="_Toc184312128"/>
      <w:bookmarkEnd w:id="270"/>
      <w:bookmarkStart w:id="271" w:name="_Toc184312125"/>
      <w:bookmarkEnd w:id="271"/>
      <w:bookmarkStart w:id="272" w:name="_Toc184313276"/>
      <w:bookmarkEnd w:id="272"/>
      <w:bookmarkStart w:id="273" w:name="_Toc184312111"/>
      <w:bookmarkEnd w:id="273"/>
      <w:bookmarkStart w:id="274" w:name="_Toc184312091"/>
      <w:bookmarkEnd w:id="274"/>
      <w:bookmarkStart w:id="275" w:name="_Toc184313303"/>
      <w:bookmarkEnd w:id="275"/>
      <w:bookmarkStart w:id="276" w:name="_Toc184310299"/>
      <w:bookmarkEnd w:id="276"/>
      <w:bookmarkStart w:id="277" w:name="_Toc184313290"/>
      <w:bookmarkEnd w:id="277"/>
      <w:bookmarkStart w:id="278" w:name="_Toc184310333"/>
      <w:bookmarkEnd w:id="278"/>
      <w:bookmarkStart w:id="279" w:name="_Toc184312131"/>
      <w:bookmarkEnd w:id="279"/>
      <w:bookmarkStart w:id="280" w:name="_Toc184310293"/>
      <w:bookmarkEnd w:id="280"/>
      <w:bookmarkStart w:id="281" w:name="_Toc184314428"/>
      <w:bookmarkEnd w:id="281"/>
      <w:bookmarkStart w:id="282" w:name="_Toc184313256"/>
      <w:bookmarkEnd w:id="282"/>
      <w:bookmarkStart w:id="283" w:name="_Toc184308066"/>
      <w:bookmarkEnd w:id="283"/>
      <w:bookmarkStart w:id="284" w:name="_Toc184314435"/>
      <w:bookmarkEnd w:id="284"/>
      <w:bookmarkStart w:id="285" w:name="_Toc184310309"/>
      <w:bookmarkEnd w:id="285"/>
      <w:bookmarkStart w:id="286" w:name="_Toc184310325"/>
      <w:bookmarkEnd w:id="286"/>
      <w:bookmarkStart w:id="287" w:name="_Toc184308106"/>
      <w:bookmarkEnd w:id="287"/>
      <w:bookmarkStart w:id="288" w:name="_Toc184314481"/>
      <w:bookmarkEnd w:id="288"/>
      <w:bookmarkStart w:id="289" w:name="_Toc184308094"/>
      <w:bookmarkEnd w:id="289"/>
      <w:bookmarkStart w:id="290" w:name="_Toc184314449"/>
      <w:bookmarkEnd w:id="290"/>
      <w:bookmarkStart w:id="291" w:name="_Toc184312073"/>
      <w:bookmarkEnd w:id="291"/>
      <w:bookmarkStart w:id="292" w:name="_Toc184314466"/>
      <w:bookmarkEnd w:id="292"/>
      <w:bookmarkStart w:id="293" w:name="_Toc184314430"/>
      <w:bookmarkEnd w:id="293"/>
      <w:bookmarkStart w:id="294" w:name="_Toc184313255"/>
      <w:bookmarkEnd w:id="294"/>
      <w:bookmarkStart w:id="295" w:name="_Toc184314479"/>
      <w:bookmarkEnd w:id="295"/>
      <w:bookmarkStart w:id="296" w:name="_Toc184314482"/>
      <w:bookmarkEnd w:id="296"/>
      <w:bookmarkStart w:id="297" w:name="_Toc184310310"/>
      <w:bookmarkEnd w:id="297"/>
      <w:bookmarkStart w:id="298" w:name="_Toc184314415"/>
      <w:bookmarkEnd w:id="298"/>
      <w:bookmarkStart w:id="299" w:name="_Toc184308055"/>
      <w:bookmarkEnd w:id="299"/>
      <w:bookmarkStart w:id="300" w:name="_Toc184313269"/>
      <w:bookmarkEnd w:id="300"/>
      <w:bookmarkStart w:id="301" w:name="_Toc184308038"/>
      <w:bookmarkEnd w:id="301"/>
      <w:bookmarkStart w:id="302" w:name="_Toc184313273"/>
      <w:bookmarkEnd w:id="302"/>
      <w:bookmarkStart w:id="303" w:name="_Toc184313247"/>
      <w:bookmarkEnd w:id="303"/>
      <w:bookmarkStart w:id="304" w:name="_Toc184308051"/>
      <w:bookmarkEnd w:id="304"/>
      <w:bookmarkStart w:id="305" w:name="_Toc184312110"/>
      <w:bookmarkEnd w:id="305"/>
      <w:bookmarkStart w:id="306" w:name="_Toc184308037"/>
      <w:bookmarkEnd w:id="306"/>
      <w:bookmarkStart w:id="307" w:name="_Toc184313294"/>
      <w:bookmarkEnd w:id="307"/>
      <w:bookmarkStart w:id="308" w:name="_Toc184310291"/>
      <w:bookmarkEnd w:id="308"/>
      <w:bookmarkStart w:id="309" w:name="_Toc184310330"/>
      <w:bookmarkEnd w:id="309"/>
      <w:bookmarkStart w:id="310" w:name="_Toc184312117"/>
      <w:bookmarkEnd w:id="310"/>
      <w:bookmarkStart w:id="311" w:name="_Toc184313242"/>
      <w:bookmarkEnd w:id="311"/>
      <w:bookmarkStart w:id="312" w:name="_Toc184312078"/>
      <w:bookmarkEnd w:id="312"/>
      <w:bookmarkStart w:id="313" w:name="_Toc184312104"/>
      <w:bookmarkEnd w:id="313"/>
      <w:bookmarkStart w:id="314" w:name="_Toc184313248"/>
      <w:bookmarkEnd w:id="314"/>
      <w:bookmarkStart w:id="315" w:name="_Toc184312085"/>
      <w:bookmarkEnd w:id="315"/>
      <w:bookmarkStart w:id="316" w:name="_Toc184312100"/>
      <w:bookmarkEnd w:id="316"/>
      <w:bookmarkStart w:id="317" w:name="_Toc184313272"/>
      <w:bookmarkEnd w:id="317"/>
      <w:bookmarkStart w:id="318" w:name="_Toc184310287"/>
      <w:bookmarkEnd w:id="318"/>
      <w:bookmarkStart w:id="319" w:name="_Toc184308091"/>
      <w:bookmarkEnd w:id="319"/>
      <w:bookmarkStart w:id="320" w:name="_Toc184310303"/>
      <w:bookmarkEnd w:id="320"/>
      <w:bookmarkStart w:id="321" w:name="_Toc184308049"/>
      <w:bookmarkEnd w:id="321"/>
      <w:bookmarkStart w:id="322" w:name="_Toc184312135"/>
      <w:bookmarkEnd w:id="322"/>
      <w:bookmarkStart w:id="323" w:name="_Toc184312127"/>
      <w:bookmarkEnd w:id="323"/>
      <w:bookmarkStart w:id="324" w:name="_Toc184314453"/>
      <w:bookmarkEnd w:id="324"/>
      <w:bookmarkStart w:id="325" w:name="_Toc184314434"/>
      <w:bookmarkEnd w:id="325"/>
      <w:bookmarkStart w:id="326" w:name="_Toc184313293"/>
      <w:bookmarkEnd w:id="326"/>
      <w:bookmarkStart w:id="327" w:name="_Toc184314423"/>
      <w:bookmarkEnd w:id="327"/>
      <w:bookmarkStart w:id="328" w:name="_Toc184313292"/>
      <w:bookmarkEnd w:id="328"/>
      <w:bookmarkStart w:id="329" w:name="_Toc184313243"/>
      <w:bookmarkEnd w:id="329"/>
      <w:bookmarkStart w:id="330" w:name="_Toc184310311"/>
      <w:bookmarkEnd w:id="330"/>
      <w:bookmarkStart w:id="331" w:name="_Toc184310326"/>
      <w:bookmarkEnd w:id="331"/>
      <w:bookmarkStart w:id="332" w:name="_Toc184308103"/>
      <w:bookmarkEnd w:id="332"/>
      <w:bookmarkStart w:id="333" w:name="_Toc184308071"/>
      <w:bookmarkEnd w:id="333"/>
      <w:bookmarkStart w:id="334" w:name="_Toc184310279"/>
      <w:bookmarkEnd w:id="334"/>
      <w:bookmarkStart w:id="335" w:name="_Toc184314477"/>
      <w:bookmarkEnd w:id="335"/>
      <w:bookmarkStart w:id="336" w:name="_Toc184312070"/>
      <w:bookmarkEnd w:id="336"/>
      <w:bookmarkStart w:id="337" w:name="_Toc184310329"/>
      <w:bookmarkEnd w:id="337"/>
      <w:bookmarkStart w:id="338" w:name="_Toc184308072"/>
      <w:bookmarkEnd w:id="338"/>
      <w:bookmarkStart w:id="339" w:name="_Toc184313298"/>
      <w:bookmarkEnd w:id="339"/>
      <w:bookmarkStart w:id="340" w:name="_Toc184314447"/>
      <w:bookmarkEnd w:id="340"/>
      <w:bookmarkStart w:id="341" w:name="_Toc184308053"/>
      <w:bookmarkEnd w:id="341"/>
      <w:bookmarkStart w:id="342" w:name="_Toc184313307"/>
      <w:bookmarkEnd w:id="342"/>
      <w:bookmarkStart w:id="343" w:name="_Toc184314411"/>
      <w:bookmarkEnd w:id="343"/>
      <w:bookmarkStart w:id="344" w:name="_Toc184314455"/>
      <w:bookmarkEnd w:id="344"/>
      <w:bookmarkStart w:id="345" w:name="_Toc184313300"/>
      <w:bookmarkEnd w:id="345"/>
      <w:bookmarkStart w:id="346" w:name="_Toc184312133"/>
      <w:bookmarkEnd w:id="346"/>
      <w:bookmarkStart w:id="347" w:name="_Toc184310331"/>
      <w:bookmarkEnd w:id="347"/>
      <w:bookmarkStart w:id="348" w:name="_Toc184313267"/>
      <w:bookmarkEnd w:id="348"/>
      <w:bookmarkStart w:id="349" w:name="_Toc184310277"/>
      <w:bookmarkEnd w:id="349"/>
      <w:bookmarkStart w:id="350" w:name="_Toc184313241"/>
      <w:bookmarkEnd w:id="350"/>
      <w:bookmarkStart w:id="351" w:name="_Toc184312087"/>
      <w:bookmarkEnd w:id="351"/>
      <w:bookmarkStart w:id="352" w:name="_Toc184314425"/>
      <w:bookmarkEnd w:id="352"/>
      <w:bookmarkStart w:id="353" w:name="_Toc184308048"/>
      <w:bookmarkEnd w:id="353"/>
      <w:bookmarkStart w:id="354" w:name="_Toc184314470"/>
      <w:bookmarkEnd w:id="354"/>
      <w:bookmarkStart w:id="355" w:name="_Toc184308095"/>
      <w:bookmarkEnd w:id="355"/>
      <w:bookmarkStart w:id="356" w:name="_Toc184308075"/>
      <w:bookmarkEnd w:id="356"/>
      <w:bookmarkStart w:id="357" w:name="_Toc184308073"/>
      <w:bookmarkEnd w:id="357"/>
      <w:bookmarkStart w:id="358" w:name="_Toc184314464"/>
      <w:bookmarkEnd w:id="358"/>
      <w:bookmarkStart w:id="359" w:name="_Toc184308042"/>
      <w:bookmarkEnd w:id="359"/>
      <w:bookmarkStart w:id="360" w:name="_Toc184310304"/>
      <w:bookmarkEnd w:id="360"/>
      <w:bookmarkStart w:id="361" w:name="_Toc184312134"/>
      <w:bookmarkEnd w:id="361"/>
      <w:bookmarkStart w:id="362" w:name="_Toc184308083"/>
      <w:bookmarkEnd w:id="362"/>
      <w:bookmarkStart w:id="363" w:name="_Toc184310334"/>
      <w:bookmarkEnd w:id="363"/>
      <w:bookmarkStart w:id="364" w:name="_Toc184310320"/>
      <w:bookmarkEnd w:id="364"/>
      <w:bookmarkStart w:id="365" w:name="_Toc184310344"/>
      <w:bookmarkEnd w:id="365"/>
      <w:bookmarkStart w:id="366" w:name="_Toc184314468"/>
      <w:bookmarkEnd w:id="366"/>
      <w:bookmarkStart w:id="367" w:name="_Toc184312081"/>
      <w:bookmarkEnd w:id="367"/>
      <w:bookmarkStart w:id="368" w:name="_Toc184313250"/>
      <w:bookmarkEnd w:id="368"/>
      <w:bookmarkStart w:id="369" w:name="_Toc184312083"/>
      <w:bookmarkEnd w:id="369"/>
      <w:bookmarkStart w:id="370" w:name="_Toc184308093"/>
      <w:bookmarkEnd w:id="370"/>
      <w:bookmarkStart w:id="371" w:name="_Toc184312077"/>
      <w:bookmarkEnd w:id="371"/>
      <w:bookmarkStart w:id="372" w:name="_Toc184310317"/>
      <w:bookmarkEnd w:id="372"/>
      <w:bookmarkStart w:id="373" w:name="_Toc184312115"/>
      <w:bookmarkEnd w:id="373"/>
      <w:bookmarkStart w:id="374" w:name="_Toc184314413"/>
      <w:bookmarkEnd w:id="374"/>
      <w:bookmarkStart w:id="375" w:name="_Toc184313245"/>
      <w:bookmarkEnd w:id="375"/>
      <w:bookmarkStart w:id="376" w:name="_Toc184310301"/>
      <w:bookmarkEnd w:id="376"/>
      <w:bookmarkStart w:id="377" w:name="_Toc184308065"/>
      <w:bookmarkEnd w:id="377"/>
      <w:bookmarkStart w:id="378" w:name="_Toc184310274"/>
      <w:bookmarkEnd w:id="378"/>
      <w:bookmarkStart w:id="379" w:name="_Toc184314460"/>
      <w:bookmarkEnd w:id="379"/>
      <w:bookmarkStart w:id="380" w:name="_Toc184308102"/>
      <w:bookmarkEnd w:id="380"/>
      <w:bookmarkStart w:id="381" w:name="_Toc184310284"/>
      <w:bookmarkEnd w:id="381"/>
      <w:bookmarkStart w:id="382" w:name="_Toc184314441"/>
      <w:bookmarkEnd w:id="382"/>
      <w:bookmarkStart w:id="383" w:name="_Toc184313299"/>
      <w:bookmarkEnd w:id="383"/>
      <w:bookmarkStart w:id="384" w:name="_Toc184308052"/>
      <w:bookmarkEnd w:id="384"/>
      <w:bookmarkStart w:id="385" w:name="_Toc184312113"/>
      <w:bookmarkEnd w:id="385"/>
      <w:bookmarkStart w:id="386" w:name="_Toc184308099"/>
      <w:bookmarkEnd w:id="386"/>
      <w:bookmarkStart w:id="387" w:name="_Toc184313268"/>
      <w:bookmarkEnd w:id="387"/>
      <w:bookmarkStart w:id="388" w:name="_Toc184312126"/>
      <w:bookmarkEnd w:id="388"/>
      <w:bookmarkStart w:id="389" w:name="_Toc184310339"/>
      <w:bookmarkEnd w:id="389"/>
      <w:bookmarkStart w:id="390" w:name="_Toc184310321"/>
      <w:bookmarkEnd w:id="390"/>
      <w:bookmarkStart w:id="391" w:name="_Toc184314443"/>
      <w:bookmarkEnd w:id="391"/>
      <w:bookmarkStart w:id="392" w:name="_Toc184313275"/>
      <w:bookmarkEnd w:id="392"/>
      <w:bookmarkStart w:id="393" w:name="_Toc184314427"/>
      <w:bookmarkEnd w:id="393"/>
      <w:bookmarkStart w:id="394" w:name="_Toc184312139"/>
      <w:bookmarkEnd w:id="394"/>
      <w:bookmarkStart w:id="395" w:name="_Toc184310342"/>
      <w:bookmarkEnd w:id="395"/>
      <w:bookmarkStart w:id="396" w:name="_Toc184308036"/>
      <w:bookmarkEnd w:id="396"/>
      <w:bookmarkStart w:id="397" w:name="_Toc184312071"/>
      <w:bookmarkEnd w:id="397"/>
      <w:r>
        <w:rPr>
          <w:rFonts w:hint="eastAsia" w:ascii="宋体" w:hAnsi="宋体" w:cs="宋体"/>
          <w:b/>
          <w:color w:val="auto"/>
          <w:sz w:val="36"/>
          <w:szCs w:val="20"/>
          <w:highlight w:val="none"/>
        </w:rPr>
        <w:t xml:space="preserve"> 评审办法</w:t>
      </w:r>
    </w:p>
    <w:p>
      <w:pPr>
        <w:snapToGrid w:val="0"/>
        <w:spacing w:line="360" w:lineRule="auto"/>
        <w:jc w:val="center"/>
        <w:rPr>
          <w:rFonts w:ascii="宋体" w:hAnsi="宋体" w:cs="宋体"/>
          <w:b/>
          <w:color w:val="auto"/>
          <w:sz w:val="32"/>
          <w:szCs w:val="20"/>
          <w:highlight w:val="none"/>
        </w:rPr>
      </w:pPr>
      <w:r>
        <w:rPr>
          <w:rFonts w:hint="eastAsia" w:ascii="宋体" w:hAnsi="宋体" w:cs="宋体"/>
          <w:b/>
          <w:color w:val="auto"/>
          <w:sz w:val="32"/>
          <w:szCs w:val="20"/>
          <w:highlight w:val="none"/>
        </w:rPr>
        <w:t>评审办法前附表</w:t>
      </w:r>
    </w:p>
    <w:tbl>
      <w:tblPr>
        <w:tblStyle w:val="63"/>
        <w:tblW w:w="97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6360"/>
        <w:gridCol w:w="840"/>
        <w:gridCol w:w="1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 w:type="dxa"/>
            <w:vAlign w:val="center"/>
          </w:tcPr>
          <w:p>
            <w:pPr>
              <w:snapToGrid w:val="0"/>
              <w:jc w:val="center"/>
              <w:outlineLvl w:val="0"/>
              <w:rPr>
                <w:rFonts w:ascii="宋体" w:hAnsi="宋体" w:cs="宋体"/>
                <w:bCs/>
                <w:color w:val="auto"/>
                <w:sz w:val="24"/>
                <w:highlight w:val="none"/>
              </w:rPr>
            </w:pPr>
            <w:r>
              <w:rPr>
                <w:rFonts w:hint="eastAsia" w:ascii="宋体" w:hAnsi="宋体" w:cs="宋体"/>
                <w:bCs/>
                <w:color w:val="auto"/>
                <w:sz w:val="24"/>
                <w:highlight w:val="none"/>
              </w:rPr>
              <w:t>序号</w:t>
            </w:r>
          </w:p>
        </w:tc>
        <w:tc>
          <w:tcPr>
            <w:tcW w:w="6360" w:type="dxa"/>
            <w:vAlign w:val="center"/>
          </w:tcPr>
          <w:p>
            <w:pPr>
              <w:snapToGrid w:val="0"/>
              <w:jc w:val="center"/>
              <w:outlineLvl w:val="0"/>
              <w:rPr>
                <w:rFonts w:ascii="宋体" w:hAnsi="宋体" w:cs="宋体"/>
                <w:bCs/>
                <w:color w:val="auto"/>
                <w:sz w:val="24"/>
                <w:highlight w:val="none"/>
              </w:rPr>
            </w:pPr>
            <w:r>
              <w:rPr>
                <w:rFonts w:hint="eastAsia" w:ascii="宋体" w:hAnsi="宋体" w:cs="宋体"/>
                <w:bCs/>
                <w:color w:val="auto"/>
                <w:sz w:val="24"/>
                <w:highlight w:val="none"/>
              </w:rPr>
              <w:t>评审标准</w:t>
            </w:r>
          </w:p>
        </w:tc>
        <w:tc>
          <w:tcPr>
            <w:tcW w:w="840" w:type="dxa"/>
            <w:vAlign w:val="center"/>
          </w:tcPr>
          <w:p>
            <w:pPr>
              <w:snapToGrid w:val="0"/>
              <w:jc w:val="center"/>
              <w:outlineLvl w:val="0"/>
              <w:rPr>
                <w:rFonts w:ascii="宋体" w:hAnsi="宋体" w:cs="宋体"/>
                <w:bCs/>
                <w:color w:val="auto"/>
                <w:sz w:val="24"/>
                <w:highlight w:val="none"/>
              </w:rPr>
            </w:pPr>
            <w:r>
              <w:rPr>
                <w:rFonts w:hint="eastAsia" w:ascii="宋体" w:hAnsi="宋体" w:cs="宋体"/>
                <w:bCs/>
                <w:color w:val="auto"/>
                <w:sz w:val="24"/>
                <w:highlight w:val="none"/>
              </w:rPr>
              <w:t>权重</w:t>
            </w:r>
          </w:p>
        </w:tc>
        <w:tc>
          <w:tcPr>
            <w:tcW w:w="1685" w:type="dxa"/>
          </w:tcPr>
          <w:p>
            <w:pPr>
              <w:snapToGrid w:val="0"/>
              <w:outlineLvl w:val="0"/>
              <w:rPr>
                <w:rFonts w:ascii="宋体" w:hAnsi="宋体" w:cs="宋体"/>
                <w:bCs/>
                <w:color w:val="auto"/>
                <w:sz w:val="24"/>
                <w:highlight w:val="none"/>
              </w:rPr>
            </w:pPr>
            <w:r>
              <w:rPr>
                <w:rFonts w:hint="eastAsia" w:ascii="宋体" w:hAnsi="宋体" w:cs="宋体"/>
                <w:bCs/>
                <w:color w:val="auto"/>
                <w:sz w:val="24"/>
                <w:highlight w:val="none"/>
              </w:rPr>
              <w:t>响应文件中评审标准相应的商务技术资料目录</w:t>
            </w:r>
            <w:r>
              <w:rPr>
                <w:rFonts w:hint="eastAsia" w:ascii="宋体" w:hAnsi="宋体" w:cs="宋体"/>
                <w:color w:val="auto"/>
                <w:sz w:val="24"/>
                <w:highlight w:val="none"/>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7" w:hRule="atLeast"/>
        </w:trPr>
        <w:tc>
          <w:tcPr>
            <w:tcW w:w="848" w:type="dxa"/>
            <w:vAlign w:val="center"/>
          </w:tcPr>
          <w:p>
            <w:pPr>
              <w:jc w:val="center"/>
              <w:rPr>
                <w:color w:val="auto"/>
                <w:highlight w:val="none"/>
              </w:rPr>
            </w:pPr>
            <w:r>
              <w:rPr>
                <w:rFonts w:hint="eastAsia"/>
                <w:color w:val="auto"/>
                <w:highlight w:val="none"/>
              </w:rPr>
              <w:t>1</w:t>
            </w:r>
          </w:p>
        </w:tc>
        <w:tc>
          <w:tcPr>
            <w:tcW w:w="6360" w:type="dxa"/>
            <w:vAlign w:val="center"/>
          </w:tcPr>
          <w:p>
            <w:pPr>
              <w:rPr>
                <w:color w:val="auto"/>
                <w:highlight w:val="none"/>
              </w:rPr>
            </w:pPr>
            <w:r>
              <w:rPr>
                <w:rFonts w:hint="eastAsia"/>
                <w:color w:val="auto"/>
                <w:highlight w:val="none"/>
                <w:lang w:val="zh-CN"/>
              </w:rPr>
              <w:t>供应商</w:t>
            </w:r>
            <w:r>
              <w:rPr>
                <w:rFonts w:hint="eastAsia"/>
                <w:color w:val="auto"/>
                <w:highlight w:val="none"/>
              </w:rPr>
              <w:t>自2020年1月1日以来</w:t>
            </w:r>
            <w:r>
              <w:rPr>
                <w:rFonts w:hint="eastAsia"/>
                <w:color w:val="auto"/>
                <w:highlight w:val="none"/>
                <w:lang w:val="zh-CN"/>
              </w:rPr>
              <w:t>承担过</w:t>
            </w:r>
            <w:r>
              <w:rPr>
                <w:rFonts w:hint="eastAsia"/>
                <w:color w:val="auto"/>
                <w:highlight w:val="none"/>
              </w:rPr>
              <w:t>类似项目业绩的</w:t>
            </w:r>
            <w:r>
              <w:rPr>
                <w:rFonts w:hint="eastAsia"/>
                <w:color w:val="auto"/>
                <w:highlight w:val="none"/>
                <w:lang w:val="zh-CN"/>
              </w:rPr>
              <w:t>，每一个得</w:t>
            </w:r>
            <w:r>
              <w:rPr>
                <w:rFonts w:hint="eastAsia"/>
                <w:color w:val="auto"/>
                <w:highlight w:val="none"/>
              </w:rPr>
              <w:t>0.5</w:t>
            </w:r>
            <w:r>
              <w:rPr>
                <w:rFonts w:hint="eastAsia"/>
                <w:color w:val="auto"/>
                <w:highlight w:val="none"/>
                <w:lang w:val="zh-CN"/>
              </w:rPr>
              <w:t>分，</w:t>
            </w:r>
            <w:r>
              <w:rPr>
                <w:rFonts w:hint="eastAsia"/>
                <w:color w:val="auto"/>
                <w:highlight w:val="none"/>
              </w:rPr>
              <w:t>最高得1分。</w:t>
            </w:r>
          </w:p>
          <w:p>
            <w:pPr>
              <w:rPr>
                <w:color w:val="auto"/>
                <w:highlight w:val="none"/>
              </w:rPr>
            </w:pPr>
            <w:r>
              <w:rPr>
                <w:rFonts w:hint="eastAsia"/>
                <w:color w:val="auto"/>
                <w:highlight w:val="none"/>
              </w:rPr>
              <w:t>【证明材料】施工合同和验收报告扫描件加盖公章（缺一不得分），证明材料须体现类似项目要求，若不能体现，须同时提供业主证明材料，时间以合同签订时间为准。</w:t>
            </w:r>
          </w:p>
        </w:tc>
        <w:tc>
          <w:tcPr>
            <w:tcW w:w="840" w:type="dxa"/>
            <w:vAlign w:val="center"/>
          </w:tcPr>
          <w:p>
            <w:pPr>
              <w:jc w:val="center"/>
              <w:rPr>
                <w:color w:val="auto"/>
                <w:highlight w:val="none"/>
              </w:rPr>
            </w:pPr>
            <w:r>
              <w:rPr>
                <w:rFonts w:hint="eastAsia" w:ascii="宋体" w:hAnsi="宋体" w:cs="宋体"/>
                <w:color w:val="auto"/>
                <w:highlight w:val="none"/>
              </w:rPr>
              <w:t>1</w:t>
            </w:r>
          </w:p>
        </w:tc>
        <w:tc>
          <w:tcPr>
            <w:tcW w:w="1685"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7" w:hRule="atLeast"/>
        </w:trPr>
        <w:tc>
          <w:tcPr>
            <w:tcW w:w="848" w:type="dxa"/>
            <w:vAlign w:val="center"/>
          </w:tcPr>
          <w:p>
            <w:pPr>
              <w:jc w:val="center"/>
              <w:rPr>
                <w:color w:val="auto"/>
                <w:highlight w:val="none"/>
              </w:rPr>
            </w:pPr>
            <w:r>
              <w:rPr>
                <w:rFonts w:hint="eastAsia"/>
                <w:color w:val="auto"/>
                <w:highlight w:val="none"/>
              </w:rPr>
              <w:t>2</w:t>
            </w:r>
          </w:p>
        </w:tc>
        <w:tc>
          <w:tcPr>
            <w:tcW w:w="6360" w:type="dxa"/>
            <w:vAlign w:val="center"/>
          </w:tcPr>
          <w:p>
            <w:pPr>
              <w:rPr>
                <w:color w:val="auto"/>
                <w:highlight w:val="none"/>
                <w:lang w:val="zh-CN"/>
              </w:rPr>
            </w:pPr>
            <w:r>
              <w:rPr>
                <w:rFonts w:hint="eastAsia"/>
                <w:color w:val="auto"/>
                <w:highlight w:val="none"/>
              </w:rPr>
              <w:t>拟派项目经理以项目经</w:t>
            </w:r>
            <w:r>
              <w:rPr>
                <w:rFonts w:hint="eastAsia"/>
                <w:color w:val="auto"/>
                <w:highlight w:val="none"/>
                <w:lang w:val="zh-CN"/>
              </w:rPr>
              <w:t>理身份承担过类似项目业绩的，每一个得</w:t>
            </w:r>
            <w:r>
              <w:rPr>
                <w:rFonts w:hint="eastAsia"/>
                <w:color w:val="auto"/>
                <w:highlight w:val="none"/>
              </w:rPr>
              <w:t>0.5</w:t>
            </w:r>
            <w:r>
              <w:rPr>
                <w:rFonts w:hint="eastAsia"/>
                <w:color w:val="auto"/>
                <w:highlight w:val="none"/>
                <w:lang w:val="zh-CN"/>
              </w:rPr>
              <w:t>分，最高得</w:t>
            </w:r>
            <w:r>
              <w:rPr>
                <w:rFonts w:hint="eastAsia"/>
                <w:color w:val="auto"/>
                <w:highlight w:val="none"/>
              </w:rPr>
              <w:t>1</w:t>
            </w:r>
            <w:r>
              <w:rPr>
                <w:rFonts w:hint="eastAsia"/>
                <w:color w:val="auto"/>
                <w:highlight w:val="none"/>
                <w:lang w:val="zh-CN"/>
              </w:rPr>
              <w:t>分。</w:t>
            </w:r>
          </w:p>
          <w:p>
            <w:pPr>
              <w:rPr>
                <w:color w:val="auto"/>
                <w:highlight w:val="none"/>
              </w:rPr>
            </w:pPr>
            <w:r>
              <w:rPr>
                <w:rFonts w:hint="eastAsia"/>
                <w:color w:val="auto"/>
                <w:highlight w:val="none"/>
              </w:rPr>
              <w:t>【证明材料】施工合同和验收报告扫描件加盖公章（缺一不得分），证明材料须体现类似项目要求和项目经理名字，若不能体现，须同时提供业主证明材料。</w:t>
            </w:r>
          </w:p>
        </w:tc>
        <w:tc>
          <w:tcPr>
            <w:tcW w:w="840" w:type="dxa"/>
            <w:vAlign w:val="center"/>
          </w:tcPr>
          <w:p>
            <w:pPr>
              <w:jc w:val="center"/>
              <w:rPr>
                <w:rFonts w:ascii="宋体" w:hAnsi="宋体" w:cs="宋体"/>
                <w:color w:val="auto"/>
                <w:highlight w:val="none"/>
              </w:rPr>
            </w:pPr>
            <w:r>
              <w:rPr>
                <w:rFonts w:hint="eastAsia" w:ascii="宋体" w:hAnsi="宋体" w:cs="宋体"/>
                <w:color w:val="auto"/>
                <w:highlight w:val="none"/>
              </w:rPr>
              <w:t>1</w:t>
            </w:r>
          </w:p>
        </w:tc>
        <w:tc>
          <w:tcPr>
            <w:tcW w:w="1685"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848" w:type="dxa"/>
            <w:vAlign w:val="center"/>
          </w:tcPr>
          <w:p>
            <w:pPr>
              <w:jc w:val="center"/>
              <w:rPr>
                <w:color w:val="auto"/>
                <w:highlight w:val="none"/>
              </w:rPr>
            </w:pPr>
            <w:r>
              <w:rPr>
                <w:rFonts w:hint="eastAsia"/>
                <w:color w:val="auto"/>
                <w:highlight w:val="none"/>
              </w:rPr>
              <w:t>3</w:t>
            </w:r>
          </w:p>
        </w:tc>
        <w:tc>
          <w:tcPr>
            <w:tcW w:w="6360" w:type="dxa"/>
            <w:vAlign w:val="center"/>
          </w:tcPr>
          <w:p>
            <w:pPr>
              <w:rPr>
                <w:color w:val="auto"/>
                <w:highlight w:val="none"/>
              </w:rPr>
            </w:pPr>
            <w:r>
              <w:rPr>
                <w:rFonts w:hint="eastAsia"/>
                <w:color w:val="auto"/>
                <w:highlight w:val="none"/>
                <w:lang w:val="zh-CN"/>
              </w:rPr>
              <w:t>供应商</w:t>
            </w:r>
            <w:r>
              <w:rPr>
                <w:rFonts w:hint="eastAsia"/>
                <w:color w:val="auto"/>
                <w:highlight w:val="none"/>
              </w:rPr>
              <w:t>具有有效的</w:t>
            </w:r>
            <w:r>
              <w:rPr>
                <w:rFonts w:hint="eastAsia"/>
                <w:color w:val="auto"/>
                <w:highlight w:val="none"/>
                <w:lang w:val="zh-CN"/>
              </w:rPr>
              <w:t>质量管理体系认证证书、环境管理体系认证证书、职业健康安全管理体系认证</w:t>
            </w:r>
            <w:r>
              <w:rPr>
                <w:rFonts w:hint="eastAsia"/>
                <w:color w:val="auto"/>
                <w:highlight w:val="none"/>
              </w:rPr>
              <w:t>的每个得1分</w:t>
            </w:r>
            <w:bookmarkStart w:id="523" w:name="_GoBack"/>
            <w:bookmarkEnd w:id="523"/>
            <w:r>
              <w:rPr>
                <w:rFonts w:hint="eastAsia"/>
                <w:color w:val="auto"/>
                <w:highlight w:val="none"/>
              </w:rPr>
              <w:t>，最高得3分。【证明材料】</w:t>
            </w:r>
            <w:r>
              <w:rPr>
                <w:rFonts w:hint="eastAsia"/>
                <w:color w:val="auto"/>
                <w:highlight w:val="none"/>
                <w:lang w:val="zh-CN"/>
              </w:rPr>
              <w:t>管理体系认证</w:t>
            </w:r>
            <w:r>
              <w:rPr>
                <w:rFonts w:hint="eastAsia"/>
                <w:color w:val="auto"/>
                <w:highlight w:val="none"/>
              </w:rPr>
              <w:t>证书扫描件加盖公章。</w:t>
            </w:r>
          </w:p>
        </w:tc>
        <w:tc>
          <w:tcPr>
            <w:tcW w:w="840" w:type="dxa"/>
            <w:vAlign w:val="center"/>
          </w:tcPr>
          <w:p>
            <w:pPr>
              <w:jc w:val="center"/>
              <w:rPr>
                <w:rFonts w:ascii="宋体" w:hAnsi="宋体" w:cs="宋体"/>
                <w:color w:val="auto"/>
                <w:highlight w:val="none"/>
              </w:rPr>
            </w:pPr>
            <w:r>
              <w:rPr>
                <w:rFonts w:hint="eastAsia" w:ascii="宋体" w:hAnsi="宋体" w:cs="宋体"/>
                <w:color w:val="auto"/>
                <w:highlight w:val="none"/>
              </w:rPr>
              <w:t>3</w:t>
            </w:r>
          </w:p>
        </w:tc>
        <w:tc>
          <w:tcPr>
            <w:tcW w:w="1685"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848" w:type="dxa"/>
            <w:vAlign w:val="center"/>
          </w:tcPr>
          <w:p>
            <w:pPr>
              <w:jc w:val="center"/>
              <w:rPr>
                <w:color w:val="auto"/>
                <w:highlight w:val="none"/>
              </w:rPr>
            </w:pPr>
            <w:r>
              <w:rPr>
                <w:rFonts w:hint="eastAsia"/>
                <w:color w:val="auto"/>
                <w:highlight w:val="none"/>
              </w:rPr>
              <w:t>4</w:t>
            </w:r>
          </w:p>
        </w:tc>
        <w:tc>
          <w:tcPr>
            <w:tcW w:w="6360" w:type="dxa"/>
            <w:vAlign w:val="center"/>
          </w:tcPr>
          <w:p>
            <w:pPr>
              <w:rPr>
                <w:color w:val="auto"/>
                <w:highlight w:val="none"/>
                <w:lang w:val="zh-CN"/>
              </w:rPr>
            </w:pPr>
            <w:r>
              <w:rPr>
                <w:rFonts w:hint="eastAsia"/>
                <w:color w:val="auto"/>
                <w:highlight w:val="none"/>
                <w:lang w:val="zh-CN"/>
              </w:rPr>
              <w:t>拟派项目经理具有高级及以上职称的得2分，技术负责人高级工程师职称得2分。</w:t>
            </w:r>
          </w:p>
          <w:p>
            <w:pPr>
              <w:rPr>
                <w:color w:val="auto"/>
                <w:highlight w:val="none"/>
                <w:lang w:val="zh-CN"/>
              </w:rPr>
            </w:pPr>
            <w:r>
              <w:rPr>
                <w:rFonts w:hint="eastAsia"/>
                <w:color w:val="auto"/>
                <w:highlight w:val="none"/>
                <w:lang w:val="zh-CN"/>
              </w:rPr>
              <w:t>【证明材料】</w:t>
            </w:r>
            <w:r>
              <w:rPr>
                <w:rFonts w:hint="eastAsia"/>
                <w:color w:val="auto"/>
                <w:highlight w:val="none"/>
                <w:lang w:val="en-US" w:eastAsia="zh-CN"/>
              </w:rPr>
              <w:t>职称证</w:t>
            </w:r>
            <w:r>
              <w:rPr>
                <w:rFonts w:hint="eastAsia"/>
                <w:color w:val="auto"/>
                <w:highlight w:val="none"/>
                <w:lang w:val="zh-CN"/>
              </w:rPr>
              <w:t>扫描件加盖公章。</w:t>
            </w:r>
          </w:p>
        </w:tc>
        <w:tc>
          <w:tcPr>
            <w:tcW w:w="840" w:type="dxa"/>
            <w:vAlign w:val="center"/>
          </w:tcPr>
          <w:p>
            <w:pPr>
              <w:jc w:val="center"/>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4</w:t>
            </w:r>
          </w:p>
        </w:tc>
        <w:tc>
          <w:tcPr>
            <w:tcW w:w="1685"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7" w:hRule="atLeast"/>
        </w:trPr>
        <w:tc>
          <w:tcPr>
            <w:tcW w:w="848" w:type="dxa"/>
            <w:vAlign w:val="center"/>
          </w:tcPr>
          <w:p>
            <w:pPr>
              <w:jc w:val="center"/>
              <w:rPr>
                <w:color w:val="auto"/>
                <w:highlight w:val="none"/>
              </w:rPr>
            </w:pPr>
            <w:r>
              <w:rPr>
                <w:rFonts w:hint="eastAsia"/>
                <w:color w:val="auto"/>
                <w:highlight w:val="none"/>
              </w:rPr>
              <w:t>5</w:t>
            </w:r>
          </w:p>
        </w:tc>
        <w:tc>
          <w:tcPr>
            <w:tcW w:w="6360" w:type="dxa"/>
            <w:vAlign w:val="center"/>
          </w:tcPr>
          <w:p>
            <w:pPr>
              <w:rPr>
                <w:color w:val="auto"/>
                <w:highlight w:val="none"/>
                <w:lang w:val="zh-CN"/>
              </w:rPr>
            </w:pPr>
            <w:r>
              <w:rPr>
                <w:rFonts w:hint="eastAsia"/>
                <w:color w:val="auto"/>
                <w:highlight w:val="none"/>
                <w:lang w:val="zh-CN"/>
              </w:rPr>
              <w:t>施工平面布置、现场临时安排与现场实际情况的符合程度：</w:t>
            </w:r>
          </w:p>
          <w:p>
            <w:pPr>
              <w:rPr>
                <w:color w:val="auto"/>
                <w:highlight w:val="none"/>
              </w:rPr>
            </w:pPr>
            <w:r>
              <w:rPr>
                <w:rFonts w:hint="eastAsia"/>
                <w:color w:val="auto"/>
                <w:highlight w:val="none"/>
              </w:rPr>
              <w:t>1）施工平面布置、现场临时安排合理，与现场实际情况符合的得5分；</w:t>
            </w:r>
          </w:p>
          <w:p>
            <w:pPr>
              <w:rPr>
                <w:color w:val="auto"/>
                <w:highlight w:val="none"/>
              </w:rPr>
            </w:pPr>
            <w:r>
              <w:rPr>
                <w:rFonts w:hint="eastAsia"/>
                <w:color w:val="auto"/>
                <w:highlight w:val="none"/>
                <w:lang w:val="en-US" w:eastAsia="zh-CN"/>
              </w:rPr>
              <w:t>2</w:t>
            </w:r>
            <w:r>
              <w:rPr>
                <w:rFonts w:hint="eastAsia"/>
                <w:color w:val="auto"/>
                <w:highlight w:val="none"/>
              </w:rPr>
              <w:t>）施工平面布置、现场临时安排及与现场实际情况符合性一般的得3分；</w:t>
            </w:r>
          </w:p>
          <w:p>
            <w:pPr>
              <w:rPr>
                <w:color w:val="auto"/>
                <w:highlight w:val="none"/>
              </w:rPr>
            </w:pPr>
            <w:r>
              <w:rPr>
                <w:rFonts w:hint="eastAsia"/>
                <w:color w:val="auto"/>
                <w:highlight w:val="none"/>
              </w:rPr>
              <w:t>3）平面布置、现场临时安排及与现场实际情况较差的得1分；</w:t>
            </w:r>
          </w:p>
          <w:p>
            <w:pPr>
              <w:rPr>
                <w:color w:val="auto"/>
                <w:highlight w:val="none"/>
              </w:rPr>
            </w:pPr>
            <w:r>
              <w:rPr>
                <w:rFonts w:hint="eastAsia"/>
                <w:color w:val="auto"/>
                <w:highlight w:val="none"/>
                <w:lang w:val="en-US" w:eastAsia="zh-CN"/>
              </w:rPr>
              <w:t>4）</w:t>
            </w:r>
            <w:r>
              <w:rPr>
                <w:rFonts w:hint="eastAsia"/>
                <w:color w:val="auto"/>
                <w:highlight w:val="none"/>
              </w:rPr>
              <w:t>未提供，或提供内容不合理的不得分。</w:t>
            </w:r>
          </w:p>
        </w:tc>
        <w:tc>
          <w:tcPr>
            <w:tcW w:w="840" w:type="dxa"/>
            <w:vAlign w:val="center"/>
          </w:tcPr>
          <w:p>
            <w:pPr>
              <w:jc w:val="center"/>
              <w:rPr>
                <w:rFonts w:ascii="宋体" w:hAnsi="宋体" w:cs="宋体"/>
                <w:color w:val="auto"/>
                <w:highlight w:val="none"/>
              </w:rPr>
            </w:pPr>
            <w:r>
              <w:rPr>
                <w:rFonts w:hint="eastAsia" w:ascii="宋体" w:hAnsi="宋体" w:cs="宋体"/>
                <w:color w:val="auto"/>
                <w:highlight w:val="none"/>
              </w:rPr>
              <w:t>5</w:t>
            </w:r>
          </w:p>
        </w:tc>
        <w:tc>
          <w:tcPr>
            <w:tcW w:w="1685"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0" w:hRule="atLeast"/>
        </w:trPr>
        <w:tc>
          <w:tcPr>
            <w:tcW w:w="848" w:type="dxa"/>
            <w:vAlign w:val="center"/>
          </w:tcPr>
          <w:p>
            <w:pPr>
              <w:jc w:val="center"/>
              <w:rPr>
                <w:color w:val="auto"/>
                <w:highlight w:val="none"/>
              </w:rPr>
            </w:pPr>
            <w:r>
              <w:rPr>
                <w:rFonts w:hint="eastAsia"/>
                <w:color w:val="auto"/>
                <w:highlight w:val="none"/>
              </w:rPr>
              <w:t>6</w:t>
            </w:r>
          </w:p>
        </w:tc>
        <w:tc>
          <w:tcPr>
            <w:tcW w:w="6360" w:type="dxa"/>
            <w:vAlign w:val="center"/>
          </w:tcPr>
          <w:p>
            <w:pPr>
              <w:rPr>
                <w:color w:val="auto"/>
                <w:highlight w:val="none"/>
                <w:lang w:val="zh-CN"/>
              </w:rPr>
            </w:pPr>
            <w:r>
              <w:rPr>
                <w:rFonts w:hint="eastAsia"/>
                <w:color w:val="auto"/>
                <w:highlight w:val="none"/>
                <w:lang w:val="zh-CN"/>
              </w:rPr>
              <w:t>工程管理人员岗位配置、专业配置的满足性及管理人员的专业能力与项目实际情况的吻合程度（从管理人员的经验、职称、所学专业进行评估）。</w:t>
            </w:r>
          </w:p>
          <w:p>
            <w:pPr>
              <w:rPr>
                <w:rFonts w:ascii="宋体" w:hAnsi="宋体" w:cs="宋体"/>
                <w:color w:val="auto"/>
                <w:szCs w:val="21"/>
                <w:highlight w:val="none"/>
              </w:rPr>
            </w:pPr>
            <w:r>
              <w:rPr>
                <w:rFonts w:hint="eastAsia" w:ascii="宋体" w:hAnsi="宋体" w:cs="宋体"/>
                <w:color w:val="auto"/>
                <w:szCs w:val="21"/>
                <w:highlight w:val="none"/>
              </w:rPr>
              <w:t>1）人员配置科学合理、专业能力与项目要求吻合、职责明确、经验丰富且执行力强的得5分；</w:t>
            </w:r>
          </w:p>
          <w:p>
            <w:pPr>
              <w:rPr>
                <w:rFonts w:ascii="宋体" w:hAnsi="宋体" w:cs="宋体"/>
                <w:color w:val="auto"/>
                <w:szCs w:val="21"/>
                <w:highlight w:val="none"/>
              </w:rPr>
            </w:pPr>
            <w:r>
              <w:rPr>
                <w:rFonts w:hint="eastAsia" w:ascii="宋体" w:hAnsi="宋体" w:cs="宋体"/>
                <w:color w:val="auto"/>
                <w:szCs w:val="21"/>
                <w:highlight w:val="none"/>
              </w:rPr>
              <w:t>2）配置较为科学合理、专业能力与项目要求吻合、职责较为明确、经验较为丰富的得4分；</w:t>
            </w:r>
          </w:p>
          <w:p>
            <w:pPr>
              <w:rPr>
                <w:rFonts w:ascii="宋体" w:hAnsi="宋体" w:cs="宋体"/>
                <w:color w:val="auto"/>
                <w:szCs w:val="21"/>
                <w:highlight w:val="none"/>
              </w:rPr>
            </w:pPr>
            <w:r>
              <w:rPr>
                <w:rFonts w:hint="eastAsia" w:ascii="宋体" w:hAnsi="宋体" w:cs="宋体"/>
                <w:color w:val="auto"/>
                <w:szCs w:val="21"/>
                <w:highlight w:val="none"/>
              </w:rPr>
              <w:t>3）配置基本科学合理、专业能力与项目要求较吻合、职责分工合理、有一定的相关经验的得3分；</w:t>
            </w:r>
          </w:p>
          <w:p>
            <w:pPr>
              <w:rPr>
                <w:rFonts w:ascii="宋体" w:hAnsi="宋体" w:cs="宋体"/>
                <w:color w:val="auto"/>
                <w:szCs w:val="21"/>
                <w:highlight w:val="none"/>
              </w:rPr>
            </w:pPr>
            <w:r>
              <w:rPr>
                <w:rFonts w:hint="eastAsia" w:ascii="宋体" w:hAnsi="宋体" w:cs="宋体"/>
                <w:color w:val="auto"/>
                <w:szCs w:val="21"/>
                <w:highlight w:val="none"/>
              </w:rPr>
              <w:t>4）配置欠合理、职责分工欠合理、经验缺乏的得2分；</w:t>
            </w:r>
          </w:p>
          <w:p>
            <w:pPr>
              <w:rPr>
                <w:rFonts w:ascii="宋体" w:hAnsi="宋体" w:cs="宋体"/>
                <w:color w:val="auto"/>
                <w:szCs w:val="21"/>
                <w:highlight w:val="none"/>
              </w:rPr>
            </w:pPr>
            <w:r>
              <w:rPr>
                <w:rFonts w:hint="eastAsia" w:ascii="宋体" w:hAnsi="宋体" w:cs="宋体"/>
                <w:color w:val="auto"/>
                <w:szCs w:val="21"/>
                <w:highlight w:val="none"/>
              </w:rPr>
              <w:t>5）配置不完善或职责分工不明确须修改后执行、经验欠缺的得1分；</w:t>
            </w:r>
          </w:p>
          <w:p>
            <w:pPr>
              <w:rPr>
                <w:color w:val="auto"/>
                <w:highlight w:val="none"/>
                <w:lang w:val="zh-CN"/>
              </w:rPr>
            </w:pPr>
            <w:r>
              <w:rPr>
                <w:rFonts w:hint="eastAsia" w:ascii="宋体" w:hAnsi="宋体" w:cs="宋体"/>
                <w:color w:val="auto"/>
                <w:szCs w:val="21"/>
                <w:highlight w:val="none"/>
              </w:rPr>
              <w:t>6）未提供的不得分。</w:t>
            </w:r>
          </w:p>
        </w:tc>
        <w:tc>
          <w:tcPr>
            <w:tcW w:w="840" w:type="dxa"/>
            <w:vAlign w:val="center"/>
          </w:tcPr>
          <w:p>
            <w:pPr>
              <w:jc w:val="center"/>
              <w:rPr>
                <w:rFonts w:ascii="宋体" w:hAnsi="宋体" w:cs="宋体"/>
                <w:color w:val="auto"/>
                <w:highlight w:val="none"/>
              </w:rPr>
            </w:pPr>
            <w:r>
              <w:rPr>
                <w:rFonts w:hint="eastAsia" w:ascii="宋体" w:hAnsi="宋体" w:cs="宋体"/>
                <w:color w:val="auto"/>
                <w:highlight w:val="none"/>
              </w:rPr>
              <w:t>5</w:t>
            </w:r>
          </w:p>
        </w:tc>
        <w:tc>
          <w:tcPr>
            <w:tcW w:w="1685"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0" w:hRule="atLeast"/>
        </w:trPr>
        <w:tc>
          <w:tcPr>
            <w:tcW w:w="848" w:type="dxa"/>
            <w:vAlign w:val="center"/>
          </w:tcPr>
          <w:p>
            <w:pPr>
              <w:jc w:val="center"/>
              <w:outlineLvl w:val="0"/>
              <w:rPr>
                <w:rFonts w:ascii="宋体" w:hAnsi="宋体" w:cs="宋体"/>
                <w:color w:val="auto"/>
                <w:szCs w:val="21"/>
                <w:highlight w:val="none"/>
              </w:rPr>
            </w:pPr>
            <w:r>
              <w:rPr>
                <w:rFonts w:hint="eastAsia" w:ascii="宋体" w:hAnsi="宋体" w:cs="宋体"/>
                <w:color w:val="auto"/>
                <w:szCs w:val="21"/>
                <w:highlight w:val="none"/>
              </w:rPr>
              <w:t>7</w:t>
            </w:r>
          </w:p>
        </w:tc>
        <w:tc>
          <w:tcPr>
            <w:tcW w:w="6360" w:type="dxa"/>
            <w:vAlign w:val="center"/>
          </w:tcPr>
          <w:p>
            <w:pPr>
              <w:rPr>
                <w:rFonts w:ascii="宋体" w:hAnsi="宋体" w:cs="宋体"/>
                <w:color w:val="auto"/>
                <w:szCs w:val="21"/>
                <w:highlight w:val="none"/>
              </w:rPr>
            </w:pPr>
            <w:r>
              <w:rPr>
                <w:rFonts w:hint="eastAsia" w:ascii="宋体" w:hAnsi="宋体" w:cs="宋体"/>
                <w:color w:val="auto"/>
                <w:szCs w:val="21"/>
                <w:highlight w:val="none"/>
              </w:rPr>
              <w:t>本项目施工难点、施工重点的描述及解决措施：</w:t>
            </w:r>
          </w:p>
          <w:p>
            <w:pPr>
              <w:rPr>
                <w:rFonts w:ascii="宋体" w:hAnsi="宋体" w:cs="宋体"/>
                <w:color w:val="auto"/>
                <w:szCs w:val="21"/>
                <w:highlight w:val="none"/>
              </w:rPr>
            </w:pPr>
            <w:r>
              <w:rPr>
                <w:rFonts w:hint="eastAsia" w:ascii="宋体" w:hAnsi="宋体" w:cs="宋体"/>
                <w:color w:val="auto"/>
                <w:szCs w:val="21"/>
                <w:highlight w:val="none"/>
              </w:rPr>
              <w:t>1）对本项目施工难点、施工重点描述清晰，且具有针对性的解决措施的，得5分；</w:t>
            </w:r>
          </w:p>
          <w:p>
            <w:pPr>
              <w:rPr>
                <w:rFonts w:ascii="宋体" w:hAnsi="宋体" w:cs="宋体"/>
                <w:color w:val="auto"/>
                <w:szCs w:val="21"/>
                <w:highlight w:val="none"/>
              </w:rPr>
            </w:pPr>
            <w:r>
              <w:rPr>
                <w:rFonts w:hint="eastAsia" w:ascii="宋体" w:hAnsi="宋体" w:cs="宋体"/>
                <w:color w:val="auto"/>
                <w:szCs w:val="21"/>
                <w:highlight w:val="none"/>
              </w:rPr>
              <w:t>2）对本项目施工难点、施工重点描述较清晰，解决措施较完整可行，得4分；</w:t>
            </w:r>
          </w:p>
          <w:p>
            <w:pPr>
              <w:rPr>
                <w:rFonts w:ascii="宋体" w:hAnsi="宋体" w:cs="宋体"/>
                <w:color w:val="auto"/>
                <w:szCs w:val="21"/>
                <w:highlight w:val="none"/>
              </w:rPr>
            </w:pPr>
            <w:r>
              <w:rPr>
                <w:rFonts w:hint="eastAsia" w:ascii="宋体" w:hAnsi="宋体" w:cs="宋体"/>
                <w:color w:val="auto"/>
                <w:szCs w:val="21"/>
                <w:highlight w:val="none"/>
              </w:rPr>
              <w:t>3）对本项目施工难点、施工重点描述一般，针对性的解决措施基本满足需求的，得3分；</w:t>
            </w:r>
          </w:p>
          <w:p>
            <w:pPr>
              <w:rPr>
                <w:rFonts w:ascii="宋体" w:hAnsi="宋体" w:cs="宋体"/>
                <w:color w:val="auto"/>
                <w:szCs w:val="21"/>
                <w:highlight w:val="none"/>
              </w:rPr>
            </w:pPr>
            <w:r>
              <w:rPr>
                <w:rFonts w:hint="eastAsia" w:ascii="宋体" w:hAnsi="宋体" w:cs="宋体"/>
                <w:color w:val="auto"/>
                <w:szCs w:val="21"/>
                <w:highlight w:val="none"/>
              </w:rPr>
              <w:t>4）对本项目施工难点、施工重点描述一般，针对性的解决措施存在瑕疵的，得2分；</w:t>
            </w:r>
          </w:p>
          <w:p>
            <w:pPr>
              <w:rPr>
                <w:rFonts w:ascii="宋体" w:hAnsi="宋体" w:cs="宋体"/>
                <w:color w:val="auto"/>
                <w:szCs w:val="21"/>
                <w:highlight w:val="none"/>
              </w:rPr>
            </w:pPr>
            <w:r>
              <w:rPr>
                <w:rFonts w:hint="eastAsia" w:ascii="宋体" w:hAnsi="宋体" w:cs="宋体"/>
                <w:color w:val="auto"/>
                <w:szCs w:val="21"/>
                <w:highlight w:val="none"/>
              </w:rPr>
              <w:t>5）对本项目施工难点、施工重点描述不够清晰，针对性的解决措施有欠缺的，须修改后执行，得1分；</w:t>
            </w:r>
          </w:p>
          <w:p>
            <w:pPr>
              <w:outlineLvl w:val="0"/>
              <w:rPr>
                <w:rFonts w:ascii="宋体" w:hAnsi="宋体" w:cs="宋体"/>
                <w:color w:val="auto"/>
                <w:szCs w:val="21"/>
                <w:highlight w:val="none"/>
              </w:rPr>
            </w:pPr>
            <w:r>
              <w:rPr>
                <w:rFonts w:hint="eastAsia" w:ascii="宋体" w:hAnsi="宋体" w:cs="宋体"/>
                <w:color w:val="auto"/>
                <w:szCs w:val="21"/>
                <w:highlight w:val="none"/>
              </w:rPr>
              <w:t>6）未提供不得分。</w:t>
            </w:r>
          </w:p>
        </w:tc>
        <w:tc>
          <w:tcPr>
            <w:tcW w:w="840" w:type="dxa"/>
            <w:vAlign w:val="center"/>
          </w:tcPr>
          <w:p>
            <w:pPr>
              <w:jc w:val="center"/>
              <w:outlineLvl w:val="0"/>
              <w:rPr>
                <w:rFonts w:ascii="宋体" w:hAnsi="宋体" w:cs="宋体"/>
                <w:bCs/>
                <w:color w:val="auto"/>
                <w:szCs w:val="21"/>
                <w:highlight w:val="none"/>
              </w:rPr>
            </w:pPr>
            <w:r>
              <w:rPr>
                <w:rFonts w:hint="eastAsia" w:ascii="宋体" w:hAnsi="宋体" w:cs="宋体"/>
                <w:bCs/>
                <w:color w:val="auto"/>
                <w:szCs w:val="21"/>
                <w:highlight w:val="none"/>
              </w:rPr>
              <w:t>5</w:t>
            </w:r>
          </w:p>
        </w:tc>
        <w:tc>
          <w:tcPr>
            <w:tcW w:w="1685" w:type="dxa"/>
            <w:vAlign w:val="center"/>
          </w:tcPr>
          <w:p>
            <w:pPr>
              <w:snapToGrid w:val="0"/>
              <w:jc w:val="center"/>
              <w:outlineLvl w:val="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1" w:hRule="atLeast"/>
        </w:trPr>
        <w:tc>
          <w:tcPr>
            <w:tcW w:w="848" w:type="dxa"/>
            <w:vAlign w:val="center"/>
          </w:tcPr>
          <w:p>
            <w:pPr>
              <w:jc w:val="center"/>
              <w:outlineLvl w:val="0"/>
              <w:rPr>
                <w:rFonts w:ascii="宋体" w:hAnsi="宋体" w:cs="宋体"/>
                <w:color w:val="auto"/>
                <w:szCs w:val="21"/>
                <w:highlight w:val="none"/>
              </w:rPr>
            </w:pPr>
            <w:r>
              <w:rPr>
                <w:rFonts w:hint="eastAsia" w:ascii="宋体" w:hAnsi="宋体" w:cs="宋体"/>
                <w:color w:val="auto"/>
                <w:szCs w:val="21"/>
                <w:highlight w:val="none"/>
              </w:rPr>
              <w:t>8</w:t>
            </w:r>
          </w:p>
        </w:tc>
        <w:tc>
          <w:tcPr>
            <w:tcW w:w="6360" w:type="dxa"/>
            <w:vAlign w:val="center"/>
          </w:tcPr>
          <w:p>
            <w:pPr>
              <w:ind w:right="-97" w:rightChars="-46"/>
              <w:jc w:val="left"/>
              <w:rPr>
                <w:rFonts w:ascii="宋体" w:hAnsi="宋体" w:cs="宋体"/>
                <w:color w:val="auto"/>
                <w:spacing w:val="-6"/>
                <w:szCs w:val="21"/>
                <w:highlight w:val="none"/>
              </w:rPr>
            </w:pPr>
            <w:r>
              <w:rPr>
                <w:rFonts w:ascii="宋体" w:hAnsi="宋体" w:cs="宋体"/>
                <w:color w:val="auto"/>
                <w:spacing w:val="-6"/>
                <w:szCs w:val="21"/>
                <w:highlight w:val="none"/>
              </w:rPr>
              <w:t>各专业工种的配置和劳动力的投入情况，劳动力安排组织与管理措施：</w:t>
            </w:r>
          </w:p>
          <w:p>
            <w:pPr>
              <w:ind w:right="-97" w:rightChars="-46"/>
              <w:jc w:val="left"/>
              <w:rPr>
                <w:rFonts w:ascii="宋体" w:hAnsi="宋体" w:cs="宋体"/>
                <w:color w:val="auto"/>
                <w:spacing w:val="-6"/>
                <w:szCs w:val="21"/>
                <w:highlight w:val="none"/>
              </w:rPr>
            </w:pPr>
            <w:r>
              <w:rPr>
                <w:rFonts w:ascii="宋体" w:hAnsi="宋体" w:cs="宋体"/>
                <w:color w:val="auto"/>
                <w:spacing w:val="-6"/>
                <w:szCs w:val="21"/>
                <w:highlight w:val="none"/>
              </w:rPr>
              <w:t>1）措施切实可行，职责明确，劳动力的配置和投入满足施工需求，得</w:t>
            </w:r>
            <w:r>
              <w:rPr>
                <w:rFonts w:hint="eastAsia" w:ascii="宋体" w:hAnsi="宋体" w:cs="宋体"/>
                <w:color w:val="auto"/>
                <w:spacing w:val="-6"/>
                <w:szCs w:val="21"/>
                <w:highlight w:val="none"/>
              </w:rPr>
              <w:t>4</w:t>
            </w:r>
            <w:r>
              <w:rPr>
                <w:rFonts w:ascii="宋体" w:hAnsi="宋体" w:cs="宋体"/>
                <w:color w:val="auto"/>
                <w:spacing w:val="-6"/>
                <w:szCs w:val="21"/>
                <w:highlight w:val="none"/>
              </w:rPr>
              <w:t>分</w:t>
            </w:r>
            <w:r>
              <w:rPr>
                <w:rFonts w:hint="eastAsia" w:ascii="宋体" w:hAnsi="宋体" w:cs="宋体"/>
                <w:color w:val="auto"/>
                <w:spacing w:val="-6"/>
                <w:szCs w:val="21"/>
                <w:highlight w:val="none"/>
              </w:rPr>
              <w:t>；</w:t>
            </w:r>
          </w:p>
          <w:p>
            <w:pPr>
              <w:ind w:right="-97" w:rightChars="-46"/>
              <w:jc w:val="left"/>
              <w:rPr>
                <w:rFonts w:ascii="宋体" w:hAnsi="宋体" w:cs="宋体"/>
                <w:color w:val="auto"/>
                <w:spacing w:val="-6"/>
                <w:szCs w:val="21"/>
                <w:highlight w:val="none"/>
              </w:rPr>
            </w:pPr>
            <w:r>
              <w:rPr>
                <w:rFonts w:ascii="宋体" w:hAnsi="宋体" w:cs="宋体"/>
                <w:color w:val="auto"/>
                <w:spacing w:val="-6"/>
                <w:szCs w:val="21"/>
                <w:highlight w:val="none"/>
              </w:rPr>
              <w:t>2）措施</w:t>
            </w:r>
            <w:r>
              <w:rPr>
                <w:rFonts w:hint="eastAsia" w:ascii="宋体" w:hAnsi="宋体" w:cs="宋体"/>
                <w:color w:val="auto"/>
                <w:spacing w:val="-6"/>
                <w:szCs w:val="21"/>
                <w:highlight w:val="none"/>
              </w:rPr>
              <w:t>较为</w:t>
            </w:r>
            <w:r>
              <w:rPr>
                <w:rFonts w:ascii="宋体" w:hAnsi="宋体" w:cs="宋体"/>
                <w:color w:val="auto"/>
                <w:spacing w:val="-6"/>
                <w:szCs w:val="21"/>
                <w:highlight w:val="none"/>
              </w:rPr>
              <w:t>可行，职责</w:t>
            </w:r>
            <w:r>
              <w:rPr>
                <w:rFonts w:hint="eastAsia" w:ascii="宋体" w:hAnsi="宋体" w:cs="宋体"/>
                <w:color w:val="auto"/>
                <w:spacing w:val="-6"/>
                <w:szCs w:val="21"/>
                <w:highlight w:val="none"/>
              </w:rPr>
              <w:t>较为</w:t>
            </w:r>
            <w:r>
              <w:rPr>
                <w:rFonts w:ascii="宋体" w:hAnsi="宋体" w:cs="宋体"/>
                <w:color w:val="auto"/>
                <w:spacing w:val="-6"/>
                <w:szCs w:val="21"/>
                <w:highlight w:val="none"/>
              </w:rPr>
              <w:t>明确，劳动力的配置和投入</w:t>
            </w:r>
            <w:r>
              <w:rPr>
                <w:rFonts w:hint="eastAsia" w:ascii="宋体" w:hAnsi="宋体" w:cs="宋体"/>
                <w:color w:val="auto"/>
                <w:spacing w:val="-6"/>
                <w:szCs w:val="21"/>
                <w:highlight w:val="none"/>
              </w:rPr>
              <w:t>较为</w:t>
            </w:r>
            <w:r>
              <w:rPr>
                <w:rFonts w:ascii="宋体" w:hAnsi="宋体" w:cs="宋体"/>
                <w:color w:val="auto"/>
                <w:spacing w:val="-6"/>
                <w:szCs w:val="21"/>
                <w:highlight w:val="none"/>
              </w:rPr>
              <w:t>满足施工需求，得3分</w:t>
            </w:r>
            <w:r>
              <w:rPr>
                <w:rFonts w:hint="eastAsia" w:ascii="宋体" w:hAnsi="宋体" w:cs="宋体"/>
                <w:color w:val="auto"/>
                <w:spacing w:val="-6"/>
                <w:szCs w:val="21"/>
                <w:highlight w:val="none"/>
              </w:rPr>
              <w:t>；</w:t>
            </w:r>
          </w:p>
          <w:p>
            <w:pPr>
              <w:pStyle w:val="44"/>
              <w:rPr>
                <w:rFonts w:ascii="宋体" w:hAnsi="宋体" w:cs="宋体"/>
                <w:color w:val="auto"/>
                <w:spacing w:val="-6"/>
                <w:szCs w:val="21"/>
                <w:highlight w:val="none"/>
              </w:rPr>
            </w:pPr>
            <w:r>
              <w:rPr>
                <w:rFonts w:ascii="宋体" w:hAnsi="宋体" w:cs="宋体"/>
                <w:color w:val="auto"/>
                <w:spacing w:val="-6"/>
                <w:szCs w:val="21"/>
                <w:highlight w:val="none"/>
              </w:rPr>
              <w:t>3）措施基本可行，职责基本明确，劳动力的配置和投入基本满足施工需求，得</w:t>
            </w:r>
            <w:r>
              <w:rPr>
                <w:rFonts w:hint="eastAsia" w:ascii="宋体" w:hAnsi="宋体" w:cs="宋体"/>
                <w:color w:val="auto"/>
                <w:spacing w:val="-6"/>
                <w:szCs w:val="21"/>
                <w:highlight w:val="none"/>
              </w:rPr>
              <w:t>2</w:t>
            </w:r>
            <w:r>
              <w:rPr>
                <w:rFonts w:ascii="宋体" w:hAnsi="宋体" w:cs="宋体"/>
                <w:color w:val="auto"/>
                <w:spacing w:val="-6"/>
                <w:szCs w:val="21"/>
                <w:highlight w:val="none"/>
              </w:rPr>
              <w:t>分</w:t>
            </w:r>
            <w:r>
              <w:rPr>
                <w:rFonts w:hint="eastAsia" w:ascii="宋体" w:hAnsi="宋体" w:cs="宋体"/>
                <w:color w:val="auto"/>
                <w:spacing w:val="-6"/>
                <w:szCs w:val="21"/>
                <w:highlight w:val="none"/>
              </w:rPr>
              <w:t>；</w:t>
            </w:r>
          </w:p>
          <w:p>
            <w:pPr>
              <w:pStyle w:val="44"/>
              <w:rPr>
                <w:rFonts w:ascii="宋体" w:hAnsi="宋体" w:cs="宋体"/>
                <w:color w:val="auto"/>
                <w:spacing w:val="-6"/>
                <w:szCs w:val="21"/>
                <w:highlight w:val="none"/>
              </w:rPr>
            </w:pPr>
            <w:r>
              <w:rPr>
                <w:rFonts w:hint="eastAsia" w:ascii="宋体" w:hAnsi="宋体" w:cs="宋体"/>
                <w:color w:val="auto"/>
                <w:spacing w:val="-6"/>
                <w:szCs w:val="21"/>
                <w:highlight w:val="none"/>
              </w:rPr>
              <w:t>4</w:t>
            </w:r>
            <w:r>
              <w:rPr>
                <w:rFonts w:ascii="宋体" w:hAnsi="宋体" w:cs="宋体"/>
                <w:color w:val="auto"/>
                <w:spacing w:val="-6"/>
                <w:szCs w:val="21"/>
                <w:highlight w:val="none"/>
              </w:rPr>
              <w:t>）措施可行一般，职责欠明确，劳动力的配置和投入不能</w:t>
            </w:r>
            <w:r>
              <w:rPr>
                <w:rFonts w:hint="eastAsia" w:ascii="宋体" w:hAnsi="宋体" w:cs="宋体"/>
                <w:color w:val="auto"/>
                <w:spacing w:val="-6"/>
                <w:szCs w:val="21"/>
                <w:highlight w:val="none"/>
              </w:rPr>
              <w:t>完全</w:t>
            </w:r>
            <w:r>
              <w:rPr>
                <w:rFonts w:ascii="宋体" w:hAnsi="宋体" w:cs="宋体"/>
                <w:color w:val="auto"/>
                <w:spacing w:val="-6"/>
                <w:szCs w:val="21"/>
                <w:highlight w:val="none"/>
              </w:rPr>
              <w:t>满足施工需求，</w:t>
            </w:r>
            <w:r>
              <w:rPr>
                <w:rFonts w:hint="eastAsia" w:ascii="宋体" w:hAnsi="宋体" w:cs="宋体"/>
                <w:color w:val="auto"/>
                <w:spacing w:val="-6"/>
                <w:szCs w:val="21"/>
                <w:highlight w:val="none"/>
              </w:rPr>
              <w:t>需修改后执行，</w:t>
            </w:r>
            <w:r>
              <w:rPr>
                <w:rFonts w:ascii="宋体" w:hAnsi="宋体" w:cs="宋体"/>
                <w:color w:val="auto"/>
                <w:spacing w:val="-6"/>
                <w:szCs w:val="21"/>
                <w:highlight w:val="none"/>
              </w:rPr>
              <w:t>得1分</w:t>
            </w:r>
            <w:r>
              <w:rPr>
                <w:rFonts w:hint="eastAsia" w:ascii="宋体" w:hAnsi="宋体" w:cs="宋体"/>
                <w:color w:val="auto"/>
                <w:spacing w:val="-6"/>
                <w:szCs w:val="21"/>
                <w:highlight w:val="none"/>
              </w:rPr>
              <w:t>；</w:t>
            </w:r>
          </w:p>
          <w:p>
            <w:pPr>
              <w:outlineLvl w:val="0"/>
              <w:rPr>
                <w:color w:val="auto"/>
                <w:highlight w:val="none"/>
              </w:rPr>
            </w:pPr>
            <w:r>
              <w:rPr>
                <w:rFonts w:hint="eastAsia" w:ascii="宋体" w:hAnsi="宋体" w:cs="宋体"/>
                <w:color w:val="auto"/>
                <w:spacing w:val="-6"/>
                <w:szCs w:val="21"/>
                <w:highlight w:val="none"/>
              </w:rPr>
              <w:t>5）未提供不得分。</w:t>
            </w:r>
          </w:p>
        </w:tc>
        <w:tc>
          <w:tcPr>
            <w:tcW w:w="840" w:type="dxa"/>
            <w:vAlign w:val="center"/>
          </w:tcPr>
          <w:p>
            <w:pPr>
              <w:jc w:val="center"/>
              <w:outlineLvl w:val="0"/>
              <w:rPr>
                <w:rFonts w:ascii="宋体" w:hAnsi="宋体" w:cs="宋体"/>
                <w:bCs/>
                <w:color w:val="auto"/>
                <w:szCs w:val="21"/>
                <w:highlight w:val="none"/>
              </w:rPr>
            </w:pPr>
            <w:r>
              <w:rPr>
                <w:rFonts w:hint="eastAsia" w:ascii="宋体" w:hAnsi="宋体" w:cs="宋体"/>
                <w:bCs/>
                <w:color w:val="auto"/>
                <w:szCs w:val="21"/>
                <w:highlight w:val="none"/>
              </w:rPr>
              <w:t>4</w:t>
            </w:r>
          </w:p>
        </w:tc>
        <w:tc>
          <w:tcPr>
            <w:tcW w:w="1685" w:type="dxa"/>
            <w:vAlign w:val="center"/>
          </w:tcPr>
          <w:p>
            <w:pPr>
              <w:snapToGrid w:val="0"/>
              <w:jc w:val="center"/>
              <w:outlineLvl w:val="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9" w:hRule="atLeast"/>
        </w:trPr>
        <w:tc>
          <w:tcPr>
            <w:tcW w:w="848" w:type="dxa"/>
            <w:vAlign w:val="center"/>
          </w:tcPr>
          <w:p>
            <w:pPr>
              <w:jc w:val="center"/>
              <w:outlineLvl w:val="0"/>
              <w:rPr>
                <w:rFonts w:ascii="宋体" w:hAnsi="宋体" w:cs="宋体"/>
                <w:color w:val="auto"/>
                <w:szCs w:val="21"/>
                <w:highlight w:val="none"/>
              </w:rPr>
            </w:pPr>
            <w:r>
              <w:rPr>
                <w:rFonts w:hint="eastAsia" w:ascii="宋体" w:hAnsi="宋体" w:cs="宋体"/>
                <w:color w:val="auto"/>
                <w:szCs w:val="21"/>
                <w:highlight w:val="none"/>
              </w:rPr>
              <w:t>9</w:t>
            </w:r>
          </w:p>
        </w:tc>
        <w:tc>
          <w:tcPr>
            <w:tcW w:w="6360" w:type="dxa"/>
            <w:vAlign w:val="center"/>
          </w:tcPr>
          <w:p>
            <w:pPr>
              <w:outlineLvl w:val="0"/>
              <w:rPr>
                <w:rFonts w:hAnsi="宋体"/>
                <w:color w:val="auto"/>
                <w:szCs w:val="21"/>
                <w:highlight w:val="none"/>
              </w:rPr>
            </w:pPr>
            <w:r>
              <w:rPr>
                <w:rFonts w:hint="eastAsia" w:hAnsi="宋体"/>
                <w:color w:val="auto"/>
                <w:szCs w:val="21"/>
                <w:highlight w:val="none"/>
              </w:rPr>
              <w:t>施工质量的控制和检验手段是否科学、可靠，及确保工程验收顺利通过的技术、管理措施的有效性。</w:t>
            </w:r>
          </w:p>
          <w:p>
            <w:pPr>
              <w:numPr>
                <w:ilvl w:val="0"/>
                <w:numId w:val="1"/>
              </w:numPr>
              <w:outlineLvl w:val="0"/>
              <w:rPr>
                <w:rFonts w:hAnsi="宋体"/>
                <w:color w:val="auto"/>
                <w:szCs w:val="21"/>
                <w:highlight w:val="none"/>
              </w:rPr>
            </w:pPr>
            <w:r>
              <w:rPr>
                <w:rFonts w:hint="eastAsia" w:hAnsi="宋体"/>
                <w:color w:val="auto"/>
                <w:szCs w:val="21"/>
                <w:highlight w:val="none"/>
              </w:rPr>
              <w:t>方案全面、合理、可行，措施科学、有效，得5分；</w:t>
            </w:r>
          </w:p>
          <w:p>
            <w:pPr>
              <w:numPr>
                <w:ilvl w:val="0"/>
                <w:numId w:val="1"/>
              </w:numPr>
              <w:outlineLvl w:val="0"/>
              <w:rPr>
                <w:rFonts w:hAnsi="宋体"/>
                <w:color w:val="auto"/>
                <w:szCs w:val="21"/>
                <w:highlight w:val="none"/>
              </w:rPr>
            </w:pPr>
            <w:r>
              <w:rPr>
                <w:rFonts w:hint="eastAsia" w:hAnsi="宋体"/>
                <w:color w:val="auto"/>
                <w:szCs w:val="21"/>
                <w:highlight w:val="none"/>
              </w:rPr>
              <w:t>方案较为全面、合理、可行，措施较为科学、有效，得4分；</w:t>
            </w:r>
          </w:p>
          <w:p>
            <w:pPr>
              <w:numPr>
                <w:ilvl w:val="0"/>
                <w:numId w:val="1"/>
              </w:numPr>
              <w:outlineLvl w:val="0"/>
              <w:rPr>
                <w:rFonts w:hAnsi="宋体"/>
                <w:color w:val="auto"/>
                <w:szCs w:val="21"/>
                <w:highlight w:val="none"/>
              </w:rPr>
            </w:pPr>
            <w:r>
              <w:rPr>
                <w:rFonts w:hint="eastAsia" w:hAnsi="宋体"/>
                <w:color w:val="auto"/>
                <w:szCs w:val="21"/>
                <w:highlight w:val="none"/>
              </w:rPr>
              <w:t>方案解基本全面、合理、可行，措施基本科学、有效，得3分；</w:t>
            </w:r>
          </w:p>
          <w:p>
            <w:pPr>
              <w:numPr>
                <w:ilvl w:val="0"/>
                <w:numId w:val="1"/>
              </w:numPr>
              <w:outlineLvl w:val="0"/>
              <w:rPr>
                <w:rFonts w:hAnsi="宋体"/>
                <w:color w:val="auto"/>
                <w:szCs w:val="21"/>
                <w:highlight w:val="none"/>
              </w:rPr>
            </w:pPr>
            <w:r>
              <w:rPr>
                <w:rFonts w:hint="eastAsia" w:hAnsi="宋体"/>
                <w:color w:val="auto"/>
                <w:szCs w:val="21"/>
                <w:highlight w:val="none"/>
              </w:rPr>
              <w:t>方案及措施内容简单，全面性、合理性、科学有效性有瑕疵，得2分；</w:t>
            </w:r>
          </w:p>
          <w:p>
            <w:pPr>
              <w:numPr>
                <w:ilvl w:val="0"/>
                <w:numId w:val="1"/>
              </w:numPr>
              <w:outlineLvl w:val="0"/>
              <w:rPr>
                <w:rFonts w:hAnsi="宋体"/>
                <w:color w:val="auto"/>
                <w:szCs w:val="21"/>
                <w:highlight w:val="none"/>
              </w:rPr>
            </w:pPr>
            <w:r>
              <w:rPr>
                <w:rFonts w:hint="eastAsia" w:hAnsi="宋体"/>
                <w:color w:val="auto"/>
                <w:szCs w:val="21"/>
                <w:highlight w:val="none"/>
              </w:rPr>
              <w:t>方案及措施内容简单，全面性、合理性、科学有效性有欠缺，须修改后执行，得1分；</w:t>
            </w:r>
          </w:p>
          <w:p>
            <w:pPr>
              <w:outlineLvl w:val="0"/>
              <w:rPr>
                <w:rFonts w:ascii="宋体" w:hAnsi="宋体" w:cs="宋体"/>
                <w:color w:val="auto"/>
                <w:kern w:val="0"/>
                <w:highlight w:val="none"/>
              </w:rPr>
            </w:pPr>
            <w:r>
              <w:rPr>
                <w:rFonts w:hint="eastAsia" w:hAnsi="宋体"/>
                <w:color w:val="auto"/>
                <w:szCs w:val="21"/>
                <w:highlight w:val="none"/>
                <w:lang w:val="en-US" w:eastAsia="zh-CN"/>
              </w:rPr>
              <w:t>6）</w:t>
            </w:r>
            <w:r>
              <w:rPr>
                <w:rFonts w:hint="eastAsia" w:hAnsi="宋体"/>
                <w:color w:val="auto"/>
                <w:szCs w:val="21"/>
                <w:highlight w:val="none"/>
              </w:rPr>
              <w:t>方案及措施内容不合理或未提供，不得分。</w:t>
            </w:r>
          </w:p>
        </w:tc>
        <w:tc>
          <w:tcPr>
            <w:tcW w:w="840" w:type="dxa"/>
            <w:vAlign w:val="center"/>
          </w:tcPr>
          <w:p>
            <w:pPr>
              <w:jc w:val="center"/>
              <w:outlineLvl w:val="0"/>
              <w:rPr>
                <w:rFonts w:ascii="宋体" w:hAnsi="宋体" w:cs="宋体"/>
                <w:bCs/>
                <w:color w:val="auto"/>
                <w:szCs w:val="21"/>
                <w:highlight w:val="none"/>
              </w:rPr>
            </w:pPr>
            <w:r>
              <w:rPr>
                <w:rFonts w:hint="eastAsia" w:ascii="宋体" w:hAnsi="宋体" w:cs="宋体"/>
                <w:bCs/>
                <w:color w:val="auto"/>
                <w:szCs w:val="21"/>
                <w:highlight w:val="none"/>
              </w:rPr>
              <w:t>5</w:t>
            </w:r>
          </w:p>
        </w:tc>
        <w:tc>
          <w:tcPr>
            <w:tcW w:w="1685" w:type="dxa"/>
            <w:vAlign w:val="center"/>
          </w:tcPr>
          <w:p>
            <w:pPr>
              <w:snapToGrid w:val="0"/>
              <w:jc w:val="center"/>
              <w:outlineLvl w:val="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3" w:hRule="atLeast"/>
        </w:trPr>
        <w:tc>
          <w:tcPr>
            <w:tcW w:w="848" w:type="dxa"/>
            <w:vAlign w:val="center"/>
          </w:tcPr>
          <w:p>
            <w:pPr>
              <w:jc w:val="center"/>
              <w:outlineLvl w:val="0"/>
              <w:rPr>
                <w:rFonts w:ascii="宋体" w:hAnsi="宋体" w:cs="宋体"/>
                <w:color w:val="auto"/>
                <w:szCs w:val="21"/>
                <w:highlight w:val="none"/>
              </w:rPr>
            </w:pPr>
            <w:r>
              <w:rPr>
                <w:rFonts w:hint="eastAsia" w:ascii="宋体" w:hAnsi="宋体" w:cs="宋体"/>
                <w:color w:val="auto"/>
                <w:szCs w:val="21"/>
                <w:highlight w:val="none"/>
              </w:rPr>
              <w:t>10</w:t>
            </w:r>
          </w:p>
        </w:tc>
        <w:tc>
          <w:tcPr>
            <w:tcW w:w="6360" w:type="dxa"/>
            <w:vAlign w:val="center"/>
          </w:tcPr>
          <w:p>
            <w:pPr>
              <w:outlineLvl w:val="0"/>
              <w:rPr>
                <w:rFonts w:hAnsi="宋体"/>
                <w:color w:val="auto"/>
                <w:szCs w:val="21"/>
                <w:highlight w:val="none"/>
              </w:rPr>
            </w:pPr>
            <w:r>
              <w:rPr>
                <w:rFonts w:hint="eastAsia" w:hAnsi="宋体"/>
                <w:color w:val="auto"/>
                <w:szCs w:val="21"/>
                <w:highlight w:val="none"/>
              </w:rPr>
              <w:t>施工方案、技术措施（防尘降噪、防潮措施等）、成品保护方案：</w:t>
            </w:r>
          </w:p>
          <w:p>
            <w:pPr>
              <w:numPr>
                <w:ilvl w:val="0"/>
                <w:numId w:val="0"/>
              </w:numPr>
              <w:outlineLvl w:val="0"/>
              <w:rPr>
                <w:rFonts w:hAnsi="宋体"/>
                <w:color w:val="auto"/>
                <w:szCs w:val="21"/>
                <w:highlight w:val="none"/>
              </w:rPr>
            </w:pPr>
            <w:r>
              <w:rPr>
                <w:rFonts w:hint="eastAsia" w:hAnsi="宋体"/>
                <w:color w:val="auto"/>
                <w:szCs w:val="21"/>
                <w:highlight w:val="none"/>
                <w:lang w:val="en-US" w:eastAsia="zh-CN"/>
              </w:rPr>
              <w:t>1）</w:t>
            </w:r>
            <w:r>
              <w:rPr>
                <w:rFonts w:hint="eastAsia" w:hAnsi="宋体"/>
                <w:color w:val="auto"/>
                <w:szCs w:val="21"/>
                <w:highlight w:val="none"/>
              </w:rPr>
              <w:t>方案全面、合理、可行，措施科学、有效，得5分；</w:t>
            </w:r>
          </w:p>
          <w:p>
            <w:pPr>
              <w:numPr>
                <w:ilvl w:val="0"/>
                <w:numId w:val="0"/>
              </w:numPr>
              <w:outlineLvl w:val="0"/>
              <w:rPr>
                <w:rFonts w:hAnsi="宋体"/>
                <w:color w:val="auto"/>
                <w:szCs w:val="21"/>
                <w:highlight w:val="none"/>
              </w:rPr>
            </w:pPr>
            <w:r>
              <w:rPr>
                <w:rFonts w:hint="eastAsia" w:hAnsi="宋体"/>
                <w:color w:val="auto"/>
                <w:szCs w:val="21"/>
                <w:highlight w:val="none"/>
                <w:lang w:val="en-US" w:eastAsia="zh-CN"/>
              </w:rPr>
              <w:t>2）</w:t>
            </w:r>
            <w:r>
              <w:rPr>
                <w:rFonts w:hint="eastAsia" w:hAnsi="宋体"/>
                <w:color w:val="auto"/>
                <w:szCs w:val="21"/>
                <w:highlight w:val="none"/>
              </w:rPr>
              <w:t>方案较为全面、合理、可行，措施较为科学、有效，得4分；</w:t>
            </w:r>
          </w:p>
          <w:p>
            <w:pPr>
              <w:numPr>
                <w:ilvl w:val="0"/>
                <w:numId w:val="0"/>
              </w:numPr>
              <w:outlineLvl w:val="0"/>
              <w:rPr>
                <w:rFonts w:hAnsi="宋体"/>
                <w:color w:val="auto"/>
                <w:szCs w:val="21"/>
                <w:highlight w:val="none"/>
              </w:rPr>
            </w:pPr>
            <w:r>
              <w:rPr>
                <w:rFonts w:hint="eastAsia" w:hAnsi="宋体"/>
                <w:color w:val="auto"/>
                <w:szCs w:val="21"/>
                <w:highlight w:val="none"/>
                <w:lang w:val="en-US" w:eastAsia="zh-CN"/>
              </w:rPr>
              <w:t>3）</w:t>
            </w:r>
            <w:r>
              <w:rPr>
                <w:rFonts w:hint="eastAsia" w:hAnsi="宋体"/>
                <w:color w:val="auto"/>
                <w:szCs w:val="21"/>
                <w:highlight w:val="none"/>
              </w:rPr>
              <w:t>方案解基本全面、合理、可行，措施基本科学、有效，得3分；</w:t>
            </w:r>
          </w:p>
          <w:p>
            <w:pPr>
              <w:numPr>
                <w:ilvl w:val="0"/>
                <w:numId w:val="0"/>
              </w:numPr>
              <w:outlineLvl w:val="0"/>
              <w:rPr>
                <w:rFonts w:hAnsi="宋体"/>
                <w:color w:val="auto"/>
                <w:szCs w:val="21"/>
                <w:highlight w:val="none"/>
              </w:rPr>
            </w:pPr>
            <w:r>
              <w:rPr>
                <w:rFonts w:hint="eastAsia" w:hAnsi="宋体"/>
                <w:color w:val="auto"/>
                <w:szCs w:val="21"/>
                <w:highlight w:val="none"/>
                <w:lang w:val="en-US" w:eastAsia="zh-CN"/>
              </w:rPr>
              <w:t>4）</w:t>
            </w:r>
            <w:r>
              <w:rPr>
                <w:rFonts w:hint="eastAsia" w:hAnsi="宋体"/>
                <w:color w:val="auto"/>
                <w:szCs w:val="21"/>
                <w:highlight w:val="none"/>
              </w:rPr>
              <w:t>方案及措施内容简单，全面性、合理性、科学有效性有瑕疵，得2分；</w:t>
            </w:r>
          </w:p>
          <w:p>
            <w:pPr>
              <w:numPr>
                <w:ilvl w:val="0"/>
                <w:numId w:val="0"/>
              </w:numPr>
              <w:outlineLvl w:val="0"/>
              <w:rPr>
                <w:rFonts w:hAnsi="宋体"/>
                <w:color w:val="auto"/>
                <w:szCs w:val="21"/>
                <w:highlight w:val="none"/>
              </w:rPr>
            </w:pPr>
            <w:r>
              <w:rPr>
                <w:rFonts w:hint="eastAsia" w:hAnsi="宋体"/>
                <w:color w:val="auto"/>
                <w:szCs w:val="21"/>
                <w:highlight w:val="none"/>
                <w:lang w:val="en-US" w:eastAsia="zh-CN"/>
              </w:rPr>
              <w:t>5）</w:t>
            </w:r>
            <w:r>
              <w:rPr>
                <w:rFonts w:hint="eastAsia" w:hAnsi="宋体"/>
                <w:color w:val="auto"/>
                <w:szCs w:val="21"/>
                <w:highlight w:val="none"/>
              </w:rPr>
              <w:t>方案及措施内容简单，全面性、合理性、科学有效性有欠缺，须修改后执行，得1分；</w:t>
            </w:r>
          </w:p>
          <w:p>
            <w:pPr>
              <w:numPr>
                <w:ilvl w:val="0"/>
                <w:numId w:val="1"/>
              </w:numPr>
              <w:outlineLvl w:val="0"/>
              <w:rPr>
                <w:rFonts w:hAnsi="宋体"/>
                <w:color w:val="auto"/>
                <w:szCs w:val="21"/>
                <w:highlight w:val="none"/>
              </w:rPr>
            </w:pPr>
            <w:r>
              <w:rPr>
                <w:rFonts w:hint="eastAsia" w:hAnsi="宋体"/>
                <w:color w:val="auto"/>
                <w:szCs w:val="21"/>
                <w:highlight w:val="none"/>
              </w:rPr>
              <w:t>方案及措施内容不合理或未提供，不得分。</w:t>
            </w:r>
          </w:p>
        </w:tc>
        <w:tc>
          <w:tcPr>
            <w:tcW w:w="840" w:type="dxa"/>
            <w:vAlign w:val="center"/>
          </w:tcPr>
          <w:p>
            <w:pPr>
              <w:jc w:val="center"/>
              <w:outlineLvl w:val="0"/>
              <w:rPr>
                <w:rFonts w:ascii="宋体" w:hAnsi="宋体" w:cs="宋体"/>
                <w:bCs/>
                <w:color w:val="auto"/>
                <w:szCs w:val="21"/>
                <w:highlight w:val="none"/>
              </w:rPr>
            </w:pPr>
            <w:r>
              <w:rPr>
                <w:rFonts w:hint="eastAsia" w:ascii="宋体" w:hAnsi="宋体" w:cs="宋体"/>
                <w:bCs/>
                <w:color w:val="auto"/>
                <w:szCs w:val="21"/>
                <w:highlight w:val="none"/>
              </w:rPr>
              <w:t>5</w:t>
            </w:r>
          </w:p>
        </w:tc>
        <w:tc>
          <w:tcPr>
            <w:tcW w:w="1685" w:type="dxa"/>
            <w:vAlign w:val="center"/>
          </w:tcPr>
          <w:p>
            <w:pPr>
              <w:snapToGrid w:val="0"/>
              <w:jc w:val="center"/>
              <w:outlineLvl w:val="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4" w:hRule="atLeast"/>
        </w:trPr>
        <w:tc>
          <w:tcPr>
            <w:tcW w:w="848" w:type="dxa"/>
            <w:vAlign w:val="center"/>
          </w:tcPr>
          <w:p>
            <w:pPr>
              <w:jc w:val="center"/>
              <w:outlineLvl w:val="0"/>
              <w:rPr>
                <w:rFonts w:ascii="宋体" w:hAnsi="宋体" w:cs="宋体"/>
                <w:color w:val="auto"/>
                <w:szCs w:val="21"/>
                <w:highlight w:val="none"/>
              </w:rPr>
            </w:pPr>
            <w:r>
              <w:rPr>
                <w:rFonts w:hint="eastAsia" w:ascii="宋体" w:hAnsi="宋体" w:cs="宋体"/>
                <w:color w:val="auto"/>
                <w:szCs w:val="21"/>
                <w:highlight w:val="none"/>
              </w:rPr>
              <w:t>11</w:t>
            </w:r>
          </w:p>
        </w:tc>
        <w:tc>
          <w:tcPr>
            <w:tcW w:w="6360" w:type="dxa"/>
            <w:vAlign w:val="center"/>
          </w:tcPr>
          <w:p>
            <w:pPr>
              <w:outlineLvl w:val="0"/>
              <w:rPr>
                <w:rFonts w:ascii="宋体" w:hAnsi="宋体" w:cs="宋体"/>
                <w:color w:val="auto"/>
                <w:highlight w:val="none"/>
              </w:rPr>
            </w:pPr>
            <w:r>
              <w:rPr>
                <w:rFonts w:hint="eastAsia" w:ascii="宋体" w:hAnsi="宋体" w:cs="宋体"/>
                <w:color w:val="auto"/>
                <w:highlight w:val="none"/>
              </w:rPr>
              <w:t>工期承诺、进度计划和控制措施：</w:t>
            </w:r>
          </w:p>
          <w:p>
            <w:pPr>
              <w:outlineLvl w:val="0"/>
              <w:rPr>
                <w:rFonts w:ascii="宋体" w:hAnsi="宋体" w:cs="宋体"/>
                <w:color w:val="auto"/>
                <w:highlight w:val="none"/>
              </w:rPr>
            </w:pPr>
            <w:r>
              <w:rPr>
                <w:rFonts w:hint="eastAsia" w:ascii="宋体" w:hAnsi="宋体" w:cs="宋体"/>
                <w:color w:val="auto"/>
                <w:highlight w:val="none"/>
              </w:rPr>
              <w:t>1）工期承诺有利于采购人及项目的实施，进度计划合理，控制措施切实可行，得</w:t>
            </w:r>
            <w:r>
              <w:rPr>
                <w:rFonts w:hint="eastAsia" w:ascii="宋体" w:hAnsi="宋体" w:cs="宋体"/>
                <w:color w:val="auto"/>
                <w:highlight w:val="none"/>
                <w:lang w:val="en-US" w:eastAsia="zh-CN"/>
              </w:rPr>
              <w:t>5</w:t>
            </w:r>
            <w:r>
              <w:rPr>
                <w:rFonts w:hint="eastAsia" w:ascii="宋体" w:hAnsi="宋体" w:cs="宋体"/>
                <w:color w:val="auto"/>
                <w:highlight w:val="none"/>
              </w:rPr>
              <w:t>分；</w:t>
            </w:r>
          </w:p>
          <w:p>
            <w:pPr>
              <w:outlineLvl w:val="0"/>
              <w:rPr>
                <w:rFonts w:ascii="宋体" w:hAnsi="宋体" w:cs="宋体"/>
                <w:color w:val="auto"/>
                <w:highlight w:val="none"/>
              </w:rPr>
            </w:pPr>
            <w:r>
              <w:rPr>
                <w:rFonts w:hint="eastAsia" w:ascii="宋体" w:hAnsi="宋体" w:cs="宋体"/>
                <w:color w:val="auto"/>
                <w:highlight w:val="none"/>
              </w:rPr>
              <w:t>2）工期承诺基本满足采购人及项目的实施，进度计划较合理，控制措施基本可行，得</w:t>
            </w:r>
            <w:r>
              <w:rPr>
                <w:rFonts w:hint="eastAsia" w:ascii="宋体" w:hAnsi="宋体" w:cs="宋体"/>
                <w:color w:val="auto"/>
                <w:highlight w:val="none"/>
                <w:lang w:val="en-US" w:eastAsia="zh-CN"/>
              </w:rPr>
              <w:t>3</w:t>
            </w:r>
            <w:r>
              <w:rPr>
                <w:rFonts w:hint="eastAsia" w:ascii="宋体" w:hAnsi="宋体" w:cs="宋体"/>
                <w:color w:val="auto"/>
                <w:highlight w:val="none"/>
              </w:rPr>
              <w:t>分；</w:t>
            </w:r>
          </w:p>
          <w:p>
            <w:pPr>
              <w:outlineLvl w:val="0"/>
              <w:rPr>
                <w:rFonts w:ascii="宋体" w:hAnsi="宋体" w:cs="宋体"/>
                <w:color w:val="auto"/>
                <w:highlight w:val="none"/>
              </w:rPr>
            </w:pPr>
            <w:r>
              <w:rPr>
                <w:rFonts w:hint="eastAsia" w:ascii="宋体" w:hAnsi="宋体" w:cs="宋体"/>
                <w:color w:val="auto"/>
                <w:highlight w:val="none"/>
              </w:rPr>
              <w:t>3）工期承诺不有利于采购人及项目的实施，和进度计划欠合理，控制措施可行性欠缺，需修改后执行的得1分；</w:t>
            </w:r>
          </w:p>
          <w:p>
            <w:pPr>
              <w:outlineLvl w:val="0"/>
              <w:rPr>
                <w:rFonts w:ascii="宋体" w:hAnsi="宋体" w:cs="宋体"/>
                <w:color w:val="auto"/>
                <w:szCs w:val="21"/>
                <w:highlight w:val="none"/>
              </w:rPr>
            </w:pPr>
            <w:r>
              <w:rPr>
                <w:rFonts w:hint="eastAsia" w:ascii="宋体" w:hAnsi="宋体" w:cs="宋体"/>
                <w:color w:val="auto"/>
                <w:highlight w:val="none"/>
              </w:rPr>
              <w:t>4）未提供不得分。</w:t>
            </w:r>
          </w:p>
        </w:tc>
        <w:tc>
          <w:tcPr>
            <w:tcW w:w="840" w:type="dxa"/>
            <w:vAlign w:val="center"/>
          </w:tcPr>
          <w:p>
            <w:pPr>
              <w:jc w:val="center"/>
              <w:outlineLvl w:val="0"/>
              <w:rPr>
                <w:rFonts w:hint="eastAsia" w:ascii="宋体" w:hAnsi="宋体" w:eastAsia="宋体" w:cs="宋体"/>
                <w:bCs/>
                <w:color w:val="auto"/>
                <w:szCs w:val="21"/>
                <w:highlight w:val="none"/>
                <w:lang w:eastAsia="zh-CN"/>
              </w:rPr>
            </w:pPr>
            <w:r>
              <w:rPr>
                <w:rFonts w:hint="eastAsia" w:ascii="宋体" w:hAnsi="宋体" w:cs="宋体"/>
                <w:color w:val="auto"/>
                <w:szCs w:val="21"/>
                <w:highlight w:val="none"/>
                <w:lang w:val="en-US" w:eastAsia="zh-CN"/>
              </w:rPr>
              <w:t>5</w:t>
            </w:r>
          </w:p>
        </w:tc>
        <w:tc>
          <w:tcPr>
            <w:tcW w:w="1685" w:type="dxa"/>
            <w:vAlign w:val="center"/>
          </w:tcPr>
          <w:p>
            <w:pPr>
              <w:snapToGrid w:val="0"/>
              <w:jc w:val="center"/>
              <w:outlineLvl w:val="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9" w:hRule="atLeast"/>
        </w:trPr>
        <w:tc>
          <w:tcPr>
            <w:tcW w:w="848" w:type="dxa"/>
            <w:vAlign w:val="center"/>
          </w:tcPr>
          <w:p>
            <w:pPr>
              <w:jc w:val="center"/>
              <w:outlineLvl w:val="0"/>
              <w:rPr>
                <w:rFonts w:ascii="宋体" w:hAnsi="宋体" w:cs="宋体"/>
                <w:color w:val="auto"/>
                <w:szCs w:val="21"/>
                <w:highlight w:val="none"/>
              </w:rPr>
            </w:pPr>
            <w:r>
              <w:rPr>
                <w:rFonts w:hint="eastAsia" w:ascii="宋体" w:hAnsi="宋体" w:cs="宋体"/>
                <w:color w:val="auto"/>
                <w:szCs w:val="21"/>
                <w:highlight w:val="none"/>
              </w:rPr>
              <w:t>12</w:t>
            </w:r>
          </w:p>
        </w:tc>
        <w:tc>
          <w:tcPr>
            <w:tcW w:w="6360" w:type="dxa"/>
            <w:vAlign w:val="center"/>
          </w:tcPr>
          <w:p>
            <w:pPr>
              <w:snapToGrid w:val="0"/>
              <w:outlineLvl w:val="0"/>
              <w:rPr>
                <w:rFonts w:ascii="宋体" w:hAnsi="宋体" w:cs="宋体"/>
                <w:color w:val="auto"/>
                <w:szCs w:val="21"/>
                <w:highlight w:val="none"/>
              </w:rPr>
            </w:pPr>
            <w:r>
              <w:rPr>
                <w:rFonts w:hint="eastAsia" w:ascii="宋体" w:hAnsi="宋体" w:cs="宋体"/>
                <w:color w:val="auto"/>
                <w:szCs w:val="21"/>
                <w:highlight w:val="none"/>
              </w:rPr>
              <w:t>供应商施工组织设计方案编制是否全面、合理，具有针对性，尤其对医院情况的熟悉，对本工程要求理解程度。</w:t>
            </w:r>
          </w:p>
          <w:p>
            <w:pPr>
              <w:snapToGrid w:val="0"/>
              <w:outlineLvl w:val="0"/>
              <w:rPr>
                <w:rFonts w:ascii="宋体" w:hAnsi="宋体" w:cs="宋体"/>
                <w:color w:val="auto"/>
                <w:szCs w:val="21"/>
                <w:highlight w:val="none"/>
              </w:rPr>
            </w:pPr>
            <w:r>
              <w:rPr>
                <w:rFonts w:hint="eastAsia" w:ascii="宋体" w:hAnsi="宋体" w:cs="宋体"/>
                <w:color w:val="auto"/>
                <w:szCs w:val="21"/>
                <w:highlight w:val="none"/>
              </w:rPr>
              <w:t>1）方案全面合理、具有针对性，对医院情况熟悉，对本工程要求理解透彻的得5分；</w:t>
            </w:r>
          </w:p>
          <w:p>
            <w:pPr>
              <w:snapToGrid w:val="0"/>
              <w:outlineLvl w:val="0"/>
              <w:rPr>
                <w:rFonts w:ascii="宋体" w:hAnsi="宋体" w:cs="宋体"/>
                <w:color w:val="auto"/>
                <w:szCs w:val="21"/>
                <w:highlight w:val="none"/>
              </w:rPr>
            </w:pPr>
            <w:r>
              <w:rPr>
                <w:rFonts w:hint="eastAsia" w:ascii="宋体" w:hAnsi="宋体" w:cs="宋体"/>
                <w:color w:val="auto"/>
                <w:szCs w:val="21"/>
                <w:highlight w:val="none"/>
              </w:rPr>
              <w:t>2）方案较为全面合理、有一定的针对性，对医院情况也较为熟悉，对本工程要求基本理解的得3分；</w:t>
            </w:r>
          </w:p>
          <w:p>
            <w:pPr>
              <w:snapToGrid w:val="0"/>
              <w:outlineLvl w:val="0"/>
              <w:rPr>
                <w:rFonts w:ascii="宋体" w:hAnsi="宋体" w:cs="宋体"/>
                <w:color w:val="auto"/>
                <w:szCs w:val="21"/>
                <w:highlight w:val="none"/>
              </w:rPr>
            </w:pPr>
            <w:r>
              <w:rPr>
                <w:rFonts w:hint="eastAsia" w:ascii="宋体" w:hAnsi="宋体" w:cs="宋体"/>
                <w:color w:val="auto"/>
                <w:szCs w:val="21"/>
                <w:highlight w:val="none"/>
              </w:rPr>
              <w:t>3）方案简单，针对性、对医院的了解情况以及对本工程要求的理解有所欠缺的得2分；</w:t>
            </w:r>
          </w:p>
          <w:p>
            <w:pPr>
              <w:snapToGrid w:val="0"/>
              <w:outlineLvl w:val="0"/>
              <w:rPr>
                <w:rFonts w:ascii="宋体" w:hAnsi="宋体" w:cs="宋体"/>
                <w:color w:val="auto"/>
                <w:szCs w:val="21"/>
                <w:highlight w:val="none"/>
              </w:rPr>
            </w:pPr>
            <w:r>
              <w:rPr>
                <w:rFonts w:hint="eastAsia" w:ascii="宋体" w:hAnsi="宋体" w:cs="宋体"/>
                <w:color w:val="auto"/>
                <w:szCs w:val="21"/>
                <w:highlight w:val="none"/>
              </w:rPr>
              <w:t>4）方案合理、缺乏针对性，或者对医院情况不熟悉，对本工程要求理解有偏差的得1分；</w:t>
            </w:r>
          </w:p>
          <w:p>
            <w:pPr>
              <w:outlineLvl w:val="0"/>
              <w:rPr>
                <w:rFonts w:ascii="宋体" w:hAnsi="宋体" w:cs="宋体"/>
                <w:color w:val="auto"/>
                <w:szCs w:val="21"/>
                <w:highlight w:val="none"/>
              </w:rPr>
            </w:pPr>
            <w:r>
              <w:rPr>
                <w:rFonts w:hint="eastAsia" w:ascii="宋体" w:hAnsi="宋体" w:cs="宋体"/>
                <w:color w:val="auto"/>
                <w:szCs w:val="21"/>
                <w:highlight w:val="none"/>
              </w:rPr>
              <w:t>5）未提供不得分。</w:t>
            </w:r>
          </w:p>
        </w:tc>
        <w:tc>
          <w:tcPr>
            <w:tcW w:w="840" w:type="dxa"/>
            <w:vAlign w:val="center"/>
          </w:tcPr>
          <w:p>
            <w:pPr>
              <w:jc w:val="center"/>
              <w:outlineLvl w:val="0"/>
              <w:rPr>
                <w:rFonts w:ascii="宋体" w:hAnsi="宋体" w:cs="宋体"/>
                <w:bCs/>
                <w:color w:val="auto"/>
                <w:szCs w:val="21"/>
                <w:highlight w:val="none"/>
              </w:rPr>
            </w:pPr>
            <w:r>
              <w:rPr>
                <w:rFonts w:hint="eastAsia" w:ascii="宋体" w:hAnsi="宋体" w:cs="宋体"/>
                <w:color w:val="auto"/>
                <w:szCs w:val="21"/>
                <w:highlight w:val="none"/>
              </w:rPr>
              <w:t>5</w:t>
            </w:r>
          </w:p>
        </w:tc>
        <w:tc>
          <w:tcPr>
            <w:tcW w:w="1685" w:type="dxa"/>
            <w:vAlign w:val="center"/>
          </w:tcPr>
          <w:p>
            <w:pPr>
              <w:snapToGrid w:val="0"/>
              <w:jc w:val="center"/>
              <w:outlineLvl w:val="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848" w:type="dxa"/>
            <w:vAlign w:val="center"/>
          </w:tcPr>
          <w:p>
            <w:pPr>
              <w:jc w:val="center"/>
              <w:outlineLvl w:val="0"/>
              <w:rPr>
                <w:rFonts w:ascii="宋体" w:hAnsi="宋体" w:cs="宋体"/>
                <w:color w:val="auto"/>
                <w:szCs w:val="21"/>
                <w:highlight w:val="none"/>
              </w:rPr>
            </w:pPr>
            <w:r>
              <w:rPr>
                <w:rFonts w:hint="eastAsia" w:ascii="宋体" w:hAnsi="宋体" w:cs="宋体"/>
                <w:color w:val="auto"/>
                <w:szCs w:val="21"/>
                <w:highlight w:val="none"/>
              </w:rPr>
              <w:t>13</w:t>
            </w:r>
          </w:p>
        </w:tc>
        <w:tc>
          <w:tcPr>
            <w:tcW w:w="6360" w:type="dxa"/>
            <w:vAlign w:val="center"/>
          </w:tcPr>
          <w:p>
            <w:pPr>
              <w:outlineLvl w:val="0"/>
              <w:rPr>
                <w:rFonts w:ascii="宋体" w:hAnsi="宋体" w:cs="宋体"/>
                <w:color w:val="auto"/>
                <w:szCs w:val="21"/>
                <w:highlight w:val="none"/>
              </w:rPr>
            </w:pPr>
            <w:r>
              <w:rPr>
                <w:rFonts w:hint="eastAsia" w:hAnsi="宋体" w:cs="Arial"/>
                <w:color w:val="auto"/>
                <w:szCs w:val="21"/>
                <w:highlight w:val="none"/>
              </w:rPr>
              <w:t>工程关键部位确定及工程关键部位的施工方案、施工质量的保证措施。</w:t>
            </w:r>
          </w:p>
        </w:tc>
        <w:tc>
          <w:tcPr>
            <w:tcW w:w="840" w:type="dxa"/>
            <w:vAlign w:val="center"/>
          </w:tcPr>
          <w:p>
            <w:pPr>
              <w:jc w:val="center"/>
              <w:outlineLvl w:val="0"/>
              <w:rPr>
                <w:rFonts w:ascii="宋体" w:hAnsi="宋体" w:cs="宋体"/>
                <w:color w:val="auto"/>
                <w:szCs w:val="21"/>
                <w:highlight w:val="none"/>
              </w:rPr>
            </w:pPr>
            <w:r>
              <w:rPr>
                <w:rFonts w:hint="eastAsia" w:ascii="宋体" w:hAnsi="宋体" w:cs="宋体"/>
                <w:color w:val="auto"/>
                <w:szCs w:val="21"/>
                <w:highlight w:val="none"/>
              </w:rPr>
              <w:t>/</w:t>
            </w:r>
          </w:p>
        </w:tc>
        <w:tc>
          <w:tcPr>
            <w:tcW w:w="1685" w:type="dxa"/>
            <w:vAlign w:val="center"/>
          </w:tcPr>
          <w:p>
            <w:pPr>
              <w:snapToGrid w:val="0"/>
              <w:jc w:val="center"/>
              <w:outlineLvl w:val="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9" w:hRule="atLeast"/>
        </w:trPr>
        <w:tc>
          <w:tcPr>
            <w:tcW w:w="848" w:type="dxa"/>
            <w:vAlign w:val="center"/>
          </w:tcPr>
          <w:p>
            <w:pPr>
              <w:jc w:val="center"/>
              <w:outlineLvl w:val="0"/>
              <w:rPr>
                <w:rFonts w:ascii="宋体" w:hAnsi="宋体" w:cs="宋体"/>
                <w:color w:val="auto"/>
                <w:szCs w:val="21"/>
                <w:highlight w:val="none"/>
              </w:rPr>
            </w:pPr>
            <w:r>
              <w:rPr>
                <w:rFonts w:hint="eastAsia" w:ascii="宋体" w:hAnsi="宋体" w:cs="宋体"/>
                <w:color w:val="auto"/>
                <w:szCs w:val="21"/>
                <w:highlight w:val="none"/>
              </w:rPr>
              <w:t>13.1</w:t>
            </w:r>
          </w:p>
        </w:tc>
        <w:tc>
          <w:tcPr>
            <w:tcW w:w="6360" w:type="dxa"/>
            <w:vAlign w:val="center"/>
          </w:tcPr>
          <w:p>
            <w:pPr>
              <w:spacing w:line="240" w:lineRule="atLeast"/>
              <w:rPr>
                <w:rFonts w:hAnsi="宋体" w:cs="Arial"/>
                <w:color w:val="auto"/>
                <w:szCs w:val="21"/>
                <w:highlight w:val="none"/>
              </w:rPr>
            </w:pPr>
            <w:r>
              <w:rPr>
                <w:rFonts w:hint="eastAsia" w:hAnsi="宋体" w:cs="Arial"/>
                <w:color w:val="auto"/>
                <w:szCs w:val="21"/>
                <w:highlight w:val="none"/>
              </w:rPr>
              <w:t>工程关键部位的确定符合工程实际情况；</w:t>
            </w:r>
          </w:p>
          <w:p>
            <w:pPr>
              <w:numPr>
                <w:ilvl w:val="0"/>
                <w:numId w:val="2"/>
              </w:numPr>
              <w:outlineLvl w:val="0"/>
              <w:rPr>
                <w:rFonts w:ascii="宋体" w:hAnsi="宋体" w:cs="宋体"/>
                <w:color w:val="auto"/>
                <w:szCs w:val="21"/>
                <w:highlight w:val="none"/>
              </w:rPr>
            </w:pPr>
            <w:r>
              <w:rPr>
                <w:rFonts w:hint="eastAsia" w:ascii="宋体" w:hAnsi="宋体" w:cs="宋体"/>
                <w:color w:val="auto"/>
                <w:szCs w:val="21"/>
                <w:highlight w:val="none"/>
              </w:rPr>
              <w:t>工程关键部位确定符合工程实际情况，得3分；</w:t>
            </w:r>
          </w:p>
          <w:p>
            <w:pPr>
              <w:numPr>
                <w:ilvl w:val="0"/>
                <w:numId w:val="2"/>
              </w:numPr>
              <w:outlineLvl w:val="0"/>
              <w:rPr>
                <w:color w:val="auto"/>
                <w:highlight w:val="none"/>
              </w:rPr>
            </w:pPr>
            <w:r>
              <w:rPr>
                <w:rFonts w:hint="eastAsia" w:ascii="宋体" w:hAnsi="宋体" w:cs="宋体"/>
                <w:color w:val="auto"/>
                <w:szCs w:val="21"/>
                <w:highlight w:val="none"/>
              </w:rPr>
              <w:t>工程关键部位</w:t>
            </w:r>
            <w:r>
              <w:rPr>
                <w:rFonts w:hint="eastAsia" w:hAnsi="宋体" w:cs="Arial"/>
                <w:color w:val="auto"/>
                <w:szCs w:val="21"/>
                <w:highlight w:val="none"/>
              </w:rPr>
              <w:t>的确定</w:t>
            </w:r>
            <w:r>
              <w:rPr>
                <w:rFonts w:hint="eastAsia" w:ascii="宋体" w:hAnsi="宋体" w:cs="宋体"/>
                <w:color w:val="auto"/>
                <w:szCs w:val="21"/>
                <w:highlight w:val="none"/>
              </w:rPr>
              <w:t>基本符合工程实际情况，得2分；</w:t>
            </w:r>
          </w:p>
          <w:p>
            <w:pPr>
              <w:numPr>
                <w:ilvl w:val="0"/>
                <w:numId w:val="2"/>
              </w:numPr>
              <w:outlineLvl w:val="0"/>
              <w:rPr>
                <w:color w:val="auto"/>
                <w:highlight w:val="none"/>
              </w:rPr>
            </w:pPr>
            <w:r>
              <w:rPr>
                <w:color w:val="auto"/>
                <w:highlight w:val="none"/>
              </w:rPr>
              <w:t>工程关键部位</w:t>
            </w:r>
            <w:r>
              <w:rPr>
                <w:rFonts w:hint="eastAsia" w:hAnsi="宋体" w:cs="Arial"/>
                <w:color w:val="auto"/>
                <w:szCs w:val="21"/>
                <w:highlight w:val="none"/>
              </w:rPr>
              <w:t>的确定与工程情况有偏差的得1分；</w:t>
            </w:r>
          </w:p>
          <w:p>
            <w:pPr>
              <w:numPr>
                <w:ilvl w:val="0"/>
                <w:numId w:val="2"/>
              </w:numPr>
              <w:outlineLvl w:val="0"/>
              <w:rPr>
                <w:color w:val="auto"/>
                <w:highlight w:val="none"/>
              </w:rPr>
            </w:pPr>
            <w:r>
              <w:rPr>
                <w:color w:val="auto"/>
                <w:highlight w:val="none"/>
              </w:rPr>
              <w:t>工程关键部位</w:t>
            </w:r>
            <w:r>
              <w:rPr>
                <w:rFonts w:hint="eastAsia" w:hAnsi="宋体" w:cs="Arial"/>
                <w:color w:val="auto"/>
                <w:szCs w:val="21"/>
                <w:highlight w:val="none"/>
              </w:rPr>
              <w:t>的确定与工程情况不符或未提供的不得分。</w:t>
            </w:r>
          </w:p>
        </w:tc>
        <w:tc>
          <w:tcPr>
            <w:tcW w:w="840" w:type="dxa"/>
            <w:vAlign w:val="center"/>
          </w:tcPr>
          <w:p>
            <w:pPr>
              <w:jc w:val="center"/>
              <w:outlineLvl w:val="0"/>
              <w:rPr>
                <w:rFonts w:ascii="宋体" w:hAnsi="宋体" w:cs="宋体"/>
                <w:color w:val="auto"/>
                <w:szCs w:val="21"/>
                <w:highlight w:val="none"/>
              </w:rPr>
            </w:pPr>
            <w:r>
              <w:rPr>
                <w:rFonts w:hint="eastAsia" w:ascii="宋体" w:hAnsi="宋体" w:cs="宋体"/>
                <w:color w:val="auto"/>
                <w:szCs w:val="21"/>
                <w:highlight w:val="none"/>
              </w:rPr>
              <w:t>3</w:t>
            </w:r>
          </w:p>
        </w:tc>
        <w:tc>
          <w:tcPr>
            <w:tcW w:w="1685" w:type="dxa"/>
            <w:vAlign w:val="center"/>
          </w:tcPr>
          <w:p>
            <w:pPr>
              <w:snapToGrid w:val="0"/>
              <w:jc w:val="center"/>
              <w:outlineLvl w:val="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9" w:hRule="atLeast"/>
        </w:trPr>
        <w:tc>
          <w:tcPr>
            <w:tcW w:w="848" w:type="dxa"/>
            <w:vAlign w:val="center"/>
          </w:tcPr>
          <w:p>
            <w:pPr>
              <w:jc w:val="center"/>
              <w:outlineLvl w:val="0"/>
              <w:rPr>
                <w:rFonts w:ascii="宋体" w:hAnsi="宋体" w:cs="宋体"/>
                <w:color w:val="auto"/>
                <w:szCs w:val="21"/>
                <w:highlight w:val="none"/>
              </w:rPr>
            </w:pPr>
            <w:r>
              <w:rPr>
                <w:rFonts w:hint="eastAsia" w:ascii="宋体" w:hAnsi="宋体" w:cs="宋体"/>
                <w:color w:val="auto"/>
                <w:szCs w:val="21"/>
                <w:highlight w:val="none"/>
              </w:rPr>
              <w:t>13.2</w:t>
            </w:r>
          </w:p>
        </w:tc>
        <w:tc>
          <w:tcPr>
            <w:tcW w:w="6360" w:type="dxa"/>
            <w:vAlign w:val="center"/>
          </w:tcPr>
          <w:p>
            <w:pPr>
              <w:outlineLvl w:val="0"/>
              <w:rPr>
                <w:rFonts w:hAnsi="宋体" w:cs="Arial"/>
                <w:color w:val="auto"/>
                <w:szCs w:val="21"/>
                <w:highlight w:val="none"/>
              </w:rPr>
            </w:pPr>
            <w:r>
              <w:rPr>
                <w:rFonts w:hint="eastAsia" w:hAnsi="宋体" w:cs="Arial"/>
                <w:color w:val="auto"/>
                <w:szCs w:val="21"/>
                <w:highlight w:val="none"/>
              </w:rPr>
              <w:t>工程关键部位的施工方案：</w:t>
            </w:r>
          </w:p>
          <w:p>
            <w:pPr>
              <w:numPr>
                <w:ilvl w:val="0"/>
                <w:numId w:val="3"/>
              </w:numPr>
              <w:outlineLvl w:val="0"/>
              <w:rPr>
                <w:rFonts w:hAnsi="宋体" w:cs="Arial"/>
                <w:color w:val="auto"/>
                <w:szCs w:val="21"/>
                <w:highlight w:val="none"/>
              </w:rPr>
            </w:pPr>
            <w:r>
              <w:rPr>
                <w:rFonts w:hint="eastAsia" w:hAnsi="宋体" w:cs="Arial"/>
                <w:color w:val="auto"/>
                <w:szCs w:val="21"/>
                <w:highlight w:val="none"/>
              </w:rPr>
              <w:t>工程关键部位的施工方案具有针对性、科学性、符合工程施工实际情况，得3分；</w:t>
            </w:r>
          </w:p>
          <w:p>
            <w:pPr>
              <w:numPr>
                <w:ilvl w:val="0"/>
                <w:numId w:val="3"/>
              </w:numPr>
              <w:outlineLvl w:val="0"/>
              <w:rPr>
                <w:rFonts w:ascii="宋体" w:hAnsi="宋体" w:cs="宋体"/>
                <w:color w:val="auto"/>
                <w:szCs w:val="21"/>
                <w:highlight w:val="none"/>
              </w:rPr>
            </w:pPr>
            <w:r>
              <w:rPr>
                <w:rFonts w:hint="eastAsia" w:hAnsi="宋体" w:cs="Arial"/>
                <w:color w:val="auto"/>
                <w:szCs w:val="21"/>
                <w:highlight w:val="none"/>
              </w:rPr>
              <w:t>工程关键部位的施工方案具有针对性、科学性一般，基本符合工程施工实际情况，得2分；</w:t>
            </w:r>
          </w:p>
          <w:p>
            <w:pPr>
              <w:numPr>
                <w:ilvl w:val="0"/>
                <w:numId w:val="3"/>
              </w:numPr>
              <w:outlineLvl w:val="0"/>
              <w:rPr>
                <w:rFonts w:ascii="宋体" w:hAnsi="宋体" w:cs="宋体"/>
                <w:color w:val="auto"/>
                <w:szCs w:val="21"/>
                <w:highlight w:val="none"/>
              </w:rPr>
            </w:pPr>
            <w:r>
              <w:rPr>
                <w:rFonts w:hint="eastAsia" w:hAnsi="宋体" w:cs="Arial"/>
                <w:color w:val="auto"/>
                <w:szCs w:val="21"/>
                <w:highlight w:val="none"/>
              </w:rPr>
              <w:t>工程关键部位的施工方案简单，欠科学，对工程施工实际情况有偏差，得1分；</w:t>
            </w:r>
          </w:p>
          <w:p>
            <w:pPr>
              <w:numPr>
                <w:ilvl w:val="0"/>
                <w:numId w:val="3"/>
              </w:numPr>
              <w:outlineLvl w:val="0"/>
              <w:rPr>
                <w:rFonts w:ascii="宋体" w:hAnsi="宋体" w:cs="宋体"/>
                <w:color w:val="auto"/>
                <w:szCs w:val="21"/>
                <w:highlight w:val="none"/>
              </w:rPr>
            </w:pPr>
            <w:r>
              <w:rPr>
                <w:rFonts w:hint="eastAsia" w:hAnsi="宋体" w:cs="Arial"/>
                <w:color w:val="auto"/>
                <w:szCs w:val="21"/>
                <w:highlight w:val="none"/>
              </w:rPr>
              <w:t>工程关键部位的施工方案不符合工程施工情况或未提供的不得分。</w:t>
            </w:r>
          </w:p>
        </w:tc>
        <w:tc>
          <w:tcPr>
            <w:tcW w:w="840" w:type="dxa"/>
            <w:vAlign w:val="center"/>
          </w:tcPr>
          <w:p>
            <w:pPr>
              <w:jc w:val="center"/>
              <w:outlineLvl w:val="0"/>
              <w:rPr>
                <w:rFonts w:ascii="宋体" w:hAnsi="宋体" w:cs="宋体"/>
                <w:color w:val="auto"/>
                <w:szCs w:val="21"/>
                <w:highlight w:val="none"/>
              </w:rPr>
            </w:pPr>
            <w:r>
              <w:rPr>
                <w:rFonts w:hint="eastAsia" w:ascii="宋体" w:hAnsi="宋体" w:cs="宋体"/>
                <w:color w:val="auto"/>
                <w:szCs w:val="21"/>
                <w:highlight w:val="none"/>
              </w:rPr>
              <w:t>3</w:t>
            </w:r>
          </w:p>
        </w:tc>
        <w:tc>
          <w:tcPr>
            <w:tcW w:w="1685" w:type="dxa"/>
            <w:vAlign w:val="center"/>
          </w:tcPr>
          <w:p>
            <w:pPr>
              <w:snapToGrid w:val="0"/>
              <w:jc w:val="center"/>
              <w:outlineLvl w:val="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3" w:hRule="atLeast"/>
        </w:trPr>
        <w:tc>
          <w:tcPr>
            <w:tcW w:w="848" w:type="dxa"/>
            <w:vAlign w:val="center"/>
          </w:tcPr>
          <w:p>
            <w:pPr>
              <w:jc w:val="center"/>
              <w:outlineLvl w:val="0"/>
              <w:rPr>
                <w:rFonts w:ascii="宋体" w:hAnsi="宋体" w:cs="宋体"/>
                <w:color w:val="auto"/>
                <w:szCs w:val="21"/>
                <w:highlight w:val="none"/>
              </w:rPr>
            </w:pPr>
            <w:r>
              <w:rPr>
                <w:rFonts w:hint="eastAsia" w:ascii="宋体" w:hAnsi="宋体" w:cs="宋体"/>
                <w:color w:val="auto"/>
                <w:szCs w:val="21"/>
                <w:highlight w:val="none"/>
              </w:rPr>
              <w:t>13.3</w:t>
            </w:r>
          </w:p>
        </w:tc>
        <w:tc>
          <w:tcPr>
            <w:tcW w:w="6360" w:type="dxa"/>
            <w:vAlign w:val="center"/>
          </w:tcPr>
          <w:p>
            <w:pPr>
              <w:outlineLvl w:val="0"/>
              <w:rPr>
                <w:rFonts w:hAnsi="宋体" w:cs="Arial"/>
                <w:color w:val="auto"/>
                <w:szCs w:val="21"/>
                <w:highlight w:val="none"/>
              </w:rPr>
            </w:pPr>
            <w:r>
              <w:rPr>
                <w:rFonts w:hint="eastAsia" w:hAnsi="宋体" w:cs="Arial"/>
                <w:color w:val="auto"/>
                <w:szCs w:val="21"/>
                <w:highlight w:val="none"/>
              </w:rPr>
              <w:t>工程关键部位施工质量的保证措：</w:t>
            </w:r>
          </w:p>
          <w:p>
            <w:pPr>
              <w:numPr>
                <w:ilvl w:val="0"/>
                <w:numId w:val="4"/>
              </w:numPr>
              <w:outlineLvl w:val="0"/>
              <w:rPr>
                <w:rFonts w:hAnsi="宋体" w:cs="Arial"/>
                <w:color w:val="auto"/>
                <w:szCs w:val="21"/>
                <w:highlight w:val="none"/>
              </w:rPr>
            </w:pPr>
            <w:r>
              <w:rPr>
                <w:rFonts w:hint="eastAsia" w:hAnsi="宋体" w:cs="Arial"/>
                <w:color w:val="auto"/>
                <w:szCs w:val="21"/>
                <w:highlight w:val="none"/>
              </w:rPr>
              <w:t>工程关键部位施工质量的保证措施具有针对性、科学性，得3分；</w:t>
            </w:r>
          </w:p>
          <w:p>
            <w:pPr>
              <w:numPr>
                <w:ilvl w:val="0"/>
                <w:numId w:val="4"/>
              </w:numPr>
              <w:outlineLvl w:val="0"/>
              <w:rPr>
                <w:rFonts w:ascii="宋体" w:hAnsi="宋体" w:cs="宋体"/>
                <w:color w:val="auto"/>
                <w:szCs w:val="21"/>
                <w:highlight w:val="none"/>
              </w:rPr>
            </w:pPr>
            <w:r>
              <w:rPr>
                <w:rFonts w:hint="eastAsia" w:hAnsi="宋体" w:cs="Arial"/>
                <w:color w:val="auto"/>
                <w:szCs w:val="21"/>
                <w:highlight w:val="none"/>
              </w:rPr>
              <w:t>工程关键部位施工质量的保证措施针对性、科学性一般，得</w:t>
            </w:r>
            <w:r>
              <w:rPr>
                <w:rFonts w:hAnsi="宋体" w:cs="Arial"/>
                <w:color w:val="auto"/>
                <w:szCs w:val="21"/>
                <w:highlight w:val="none"/>
              </w:rPr>
              <w:t>2</w:t>
            </w:r>
            <w:r>
              <w:rPr>
                <w:rFonts w:hint="eastAsia" w:hAnsi="宋体" w:cs="Arial"/>
                <w:color w:val="auto"/>
                <w:szCs w:val="21"/>
                <w:highlight w:val="none"/>
              </w:rPr>
              <w:t>分；</w:t>
            </w:r>
          </w:p>
          <w:p>
            <w:pPr>
              <w:numPr>
                <w:ilvl w:val="0"/>
                <w:numId w:val="4"/>
              </w:numPr>
              <w:outlineLvl w:val="0"/>
              <w:rPr>
                <w:rFonts w:ascii="宋体" w:hAnsi="宋体" w:cs="宋体"/>
                <w:color w:val="auto"/>
                <w:szCs w:val="21"/>
                <w:highlight w:val="none"/>
              </w:rPr>
            </w:pPr>
            <w:r>
              <w:rPr>
                <w:rFonts w:hint="eastAsia" w:hAnsi="宋体" w:cs="Arial"/>
                <w:color w:val="auto"/>
                <w:szCs w:val="21"/>
                <w:highlight w:val="none"/>
              </w:rPr>
              <w:t>工程关键部位施工质量的保证措施简单、欠科学，得1分；</w:t>
            </w:r>
          </w:p>
          <w:p>
            <w:pPr>
              <w:numPr>
                <w:ilvl w:val="0"/>
                <w:numId w:val="4"/>
              </w:numPr>
              <w:outlineLvl w:val="0"/>
              <w:rPr>
                <w:rFonts w:ascii="宋体" w:hAnsi="宋体" w:cs="宋体"/>
                <w:color w:val="auto"/>
                <w:szCs w:val="21"/>
                <w:highlight w:val="none"/>
              </w:rPr>
            </w:pPr>
            <w:r>
              <w:rPr>
                <w:rFonts w:hint="eastAsia" w:hAnsi="宋体" w:cs="Arial"/>
                <w:color w:val="auto"/>
                <w:szCs w:val="21"/>
                <w:highlight w:val="none"/>
              </w:rPr>
              <w:t>工程关键部位施工质量的保证措施不合理或未提供的不得分。</w:t>
            </w:r>
          </w:p>
        </w:tc>
        <w:tc>
          <w:tcPr>
            <w:tcW w:w="840" w:type="dxa"/>
            <w:vAlign w:val="center"/>
          </w:tcPr>
          <w:p>
            <w:pPr>
              <w:jc w:val="center"/>
              <w:outlineLvl w:val="0"/>
              <w:rPr>
                <w:rFonts w:ascii="宋体" w:hAnsi="宋体" w:cs="宋体"/>
                <w:color w:val="auto"/>
                <w:szCs w:val="21"/>
                <w:highlight w:val="none"/>
              </w:rPr>
            </w:pPr>
            <w:r>
              <w:rPr>
                <w:rFonts w:hint="eastAsia" w:ascii="宋体" w:hAnsi="宋体" w:cs="宋体"/>
                <w:color w:val="auto"/>
                <w:szCs w:val="21"/>
                <w:highlight w:val="none"/>
              </w:rPr>
              <w:t>3</w:t>
            </w:r>
          </w:p>
        </w:tc>
        <w:tc>
          <w:tcPr>
            <w:tcW w:w="1685" w:type="dxa"/>
            <w:vAlign w:val="center"/>
          </w:tcPr>
          <w:p>
            <w:pPr>
              <w:snapToGrid w:val="0"/>
              <w:jc w:val="center"/>
              <w:outlineLvl w:val="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3" w:hRule="atLeast"/>
        </w:trPr>
        <w:tc>
          <w:tcPr>
            <w:tcW w:w="848" w:type="dxa"/>
            <w:vAlign w:val="center"/>
          </w:tcPr>
          <w:p>
            <w:pPr>
              <w:jc w:val="center"/>
              <w:outlineLvl w:val="0"/>
              <w:rPr>
                <w:rFonts w:ascii="宋体" w:hAnsi="宋体" w:cs="宋体"/>
                <w:color w:val="auto"/>
                <w:szCs w:val="21"/>
                <w:highlight w:val="none"/>
              </w:rPr>
            </w:pPr>
            <w:r>
              <w:rPr>
                <w:rFonts w:hint="eastAsia" w:ascii="宋体" w:hAnsi="宋体" w:cs="宋体"/>
                <w:color w:val="auto"/>
                <w:szCs w:val="21"/>
                <w:highlight w:val="none"/>
              </w:rPr>
              <w:t>14</w:t>
            </w:r>
          </w:p>
        </w:tc>
        <w:tc>
          <w:tcPr>
            <w:tcW w:w="6360" w:type="dxa"/>
            <w:vAlign w:val="center"/>
          </w:tcPr>
          <w:p>
            <w:pPr>
              <w:outlineLvl w:val="0"/>
              <w:rPr>
                <w:rFonts w:ascii="宋体" w:hAnsi="宋体" w:cs="宋体"/>
                <w:color w:val="auto"/>
                <w:kern w:val="0"/>
                <w:highlight w:val="none"/>
              </w:rPr>
            </w:pPr>
            <w:r>
              <w:rPr>
                <w:rFonts w:hint="eastAsia" w:ascii="宋体" w:hAnsi="宋体" w:cs="宋体"/>
                <w:color w:val="auto"/>
                <w:kern w:val="0"/>
                <w:highlight w:val="none"/>
              </w:rPr>
              <w:t>施工机具和检验仪器的投入满足工程质量和进度要求的程度。1）配备齐全，配置情况科学、合理，满足工程质量和进度要求，得5分；</w:t>
            </w:r>
          </w:p>
          <w:p>
            <w:pPr>
              <w:outlineLvl w:val="0"/>
              <w:rPr>
                <w:rFonts w:ascii="宋体" w:hAnsi="宋体" w:cs="宋体"/>
                <w:color w:val="auto"/>
                <w:kern w:val="0"/>
                <w:highlight w:val="none"/>
              </w:rPr>
            </w:pPr>
            <w:r>
              <w:rPr>
                <w:rFonts w:hint="eastAsia" w:ascii="宋体" w:hAnsi="宋体" w:cs="宋体"/>
                <w:color w:val="auto"/>
                <w:kern w:val="0"/>
                <w:highlight w:val="none"/>
              </w:rPr>
              <w:t>2）配备较齐全，配置情况较为科学、合理，满足工程质量和进度要求，得4分；</w:t>
            </w:r>
          </w:p>
          <w:p>
            <w:pPr>
              <w:outlineLvl w:val="0"/>
              <w:rPr>
                <w:rFonts w:ascii="宋体" w:hAnsi="宋体" w:cs="宋体"/>
                <w:color w:val="auto"/>
                <w:kern w:val="0"/>
                <w:highlight w:val="none"/>
              </w:rPr>
            </w:pPr>
            <w:r>
              <w:rPr>
                <w:rFonts w:hint="eastAsia" w:ascii="宋体" w:hAnsi="宋体" w:cs="宋体"/>
                <w:color w:val="auto"/>
                <w:kern w:val="0"/>
                <w:highlight w:val="none"/>
              </w:rPr>
              <w:t>3）配备基本齐全，配置情况基本科学、合理，基本满足工程质量和进度要求，得3分；</w:t>
            </w:r>
          </w:p>
          <w:p>
            <w:pPr>
              <w:outlineLvl w:val="0"/>
              <w:rPr>
                <w:rFonts w:ascii="宋体" w:hAnsi="宋体" w:cs="宋体"/>
                <w:color w:val="auto"/>
                <w:kern w:val="0"/>
                <w:highlight w:val="none"/>
              </w:rPr>
            </w:pPr>
            <w:r>
              <w:rPr>
                <w:rFonts w:hint="eastAsia" w:ascii="宋体" w:hAnsi="宋体" w:cs="宋体"/>
                <w:color w:val="auto"/>
                <w:kern w:val="0"/>
                <w:highlight w:val="none"/>
              </w:rPr>
              <w:t>4）配备简单，配置欠科学、欠合理，部分满足工程质量和进度要求，得2分；</w:t>
            </w:r>
          </w:p>
          <w:p>
            <w:pPr>
              <w:outlineLvl w:val="0"/>
              <w:rPr>
                <w:rFonts w:ascii="宋体" w:hAnsi="宋体" w:cs="宋体"/>
                <w:color w:val="auto"/>
                <w:kern w:val="0"/>
                <w:highlight w:val="none"/>
              </w:rPr>
            </w:pPr>
            <w:r>
              <w:rPr>
                <w:rFonts w:hint="eastAsia" w:ascii="宋体" w:hAnsi="宋体" w:cs="宋体"/>
                <w:color w:val="auto"/>
                <w:kern w:val="0"/>
                <w:highlight w:val="none"/>
              </w:rPr>
              <w:t>5）配备简单，配置欠科学、欠合理，对工程质量和进度要求满足情况较差的得1分；</w:t>
            </w:r>
          </w:p>
          <w:p>
            <w:pPr>
              <w:outlineLvl w:val="0"/>
              <w:rPr>
                <w:rFonts w:ascii="宋体" w:hAnsi="宋体" w:cs="宋体"/>
                <w:color w:val="auto"/>
                <w:szCs w:val="21"/>
                <w:highlight w:val="none"/>
              </w:rPr>
            </w:pPr>
            <w:r>
              <w:rPr>
                <w:rFonts w:hint="eastAsia" w:ascii="宋体" w:hAnsi="宋体" w:cs="宋体"/>
                <w:color w:val="auto"/>
                <w:kern w:val="0"/>
                <w:highlight w:val="none"/>
              </w:rPr>
              <w:t>6）配备不合理，无法满足工程质量和进度要求或未提供的不得分。</w:t>
            </w:r>
          </w:p>
        </w:tc>
        <w:tc>
          <w:tcPr>
            <w:tcW w:w="840" w:type="dxa"/>
            <w:vAlign w:val="center"/>
          </w:tcPr>
          <w:p>
            <w:pPr>
              <w:jc w:val="center"/>
              <w:outlineLvl w:val="0"/>
              <w:rPr>
                <w:rFonts w:ascii="宋体" w:hAnsi="宋体" w:cs="宋体"/>
                <w:color w:val="auto"/>
                <w:szCs w:val="21"/>
                <w:highlight w:val="none"/>
              </w:rPr>
            </w:pPr>
            <w:r>
              <w:rPr>
                <w:rFonts w:hint="eastAsia" w:ascii="宋体" w:hAnsi="宋体" w:cs="宋体"/>
                <w:color w:val="auto"/>
                <w:szCs w:val="21"/>
                <w:highlight w:val="none"/>
              </w:rPr>
              <w:t>5</w:t>
            </w:r>
          </w:p>
        </w:tc>
        <w:tc>
          <w:tcPr>
            <w:tcW w:w="1685" w:type="dxa"/>
            <w:vAlign w:val="center"/>
          </w:tcPr>
          <w:p>
            <w:pPr>
              <w:snapToGrid w:val="0"/>
              <w:jc w:val="center"/>
              <w:outlineLvl w:val="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848" w:type="dxa"/>
            <w:vAlign w:val="center"/>
          </w:tcPr>
          <w:p>
            <w:pPr>
              <w:jc w:val="center"/>
              <w:outlineLvl w:val="0"/>
              <w:rPr>
                <w:rFonts w:ascii="宋体" w:hAnsi="宋体" w:cs="宋体"/>
                <w:color w:val="auto"/>
                <w:szCs w:val="21"/>
                <w:highlight w:val="none"/>
              </w:rPr>
            </w:pPr>
            <w:r>
              <w:rPr>
                <w:rFonts w:hint="eastAsia" w:ascii="宋体" w:hAnsi="宋体" w:cs="宋体"/>
                <w:color w:val="auto"/>
                <w:szCs w:val="21"/>
                <w:highlight w:val="none"/>
              </w:rPr>
              <w:t>15</w:t>
            </w:r>
          </w:p>
        </w:tc>
        <w:tc>
          <w:tcPr>
            <w:tcW w:w="6360" w:type="dxa"/>
            <w:vAlign w:val="center"/>
          </w:tcPr>
          <w:p>
            <w:pPr>
              <w:outlineLvl w:val="0"/>
              <w:rPr>
                <w:rFonts w:ascii="宋体" w:hAnsi="宋体" w:cs="宋体"/>
                <w:color w:val="auto"/>
                <w:kern w:val="0"/>
                <w:highlight w:val="none"/>
              </w:rPr>
            </w:pPr>
            <w:r>
              <w:rPr>
                <w:rFonts w:hint="eastAsia" w:ascii="宋体" w:hAnsi="宋体" w:cs="宋体"/>
                <w:color w:val="auto"/>
                <w:kern w:val="0"/>
                <w:highlight w:val="none"/>
              </w:rPr>
              <w:t>安全文明施工</w:t>
            </w:r>
          </w:p>
        </w:tc>
        <w:tc>
          <w:tcPr>
            <w:tcW w:w="840" w:type="dxa"/>
            <w:vAlign w:val="center"/>
          </w:tcPr>
          <w:p>
            <w:pPr>
              <w:jc w:val="center"/>
              <w:outlineLvl w:val="0"/>
              <w:rPr>
                <w:rFonts w:ascii="宋体" w:hAnsi="宋体" w:cs="宋体"/>
                <w:color w:val="auto"/>
                <w:szCs w:val="21"/>
                <w:highlight w:val="none"/>
              </w:rPr>
            </w:pPr>
            <w:r>
              <w:rPr>
                <w:rFonts w:hint="eastAsia" w:ascii="宋体" w:hAnsi="宋体" w:cs="宋体"/>
                <w:color w:val="auto"/>
                <w:szCs w:val="21"/>
                <w:highlight w:val="none"/>
              </w:rPr>
              <w:t>/</w:t>
            </w:r>
          </w:p>
        </w:tc>
        <w:tc>
          <w:tcPr>
            <w:tcW w:w="1685" w:type="dxa"/>
            <w:vAlign w:val="center"/>
          </w:tcPr>
          <w:p>
            <w:pPr>
              <w:snapToGrid w:val="0"/>
              <w:jc w:val="center"/>
              <w:outlineLvl w:val="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3" w:hRule="atLeast"/>
        </w:trPr>
        <w:tc>
          <w:tcPr>
            <w:tcW w:w="848" w:type="dxa"/>
            <w:vAlign w:val="center"/>
          </w:tcPr>
          <w:p>
            <w:pPr>
              <w:jc w:val="center"/>
              <w:outlineLvl w:val="0"/>
              <w:rPr>
                <w:rFonts w:ascii="宋体" w:hAnsi="宋体" w:cs="宋体"/>
                <w:color w:val="auto"/>
                <w:szCs w:val="21"/>
                <w:highlight w:val="none"/>
              </w:rPr>
            </w:pPr>
            <w:r>
              <w:rPr>
                <w:rFonts w:hint="eastAsia" w:ascii="宋体" w:hAnsi="宋体" w:cs="宋体"/>
                <w:color w:val="auto"/>
                <w:szCs w:val="21"/>
                <w:highlight w:val="none"/>
              </w:rPr>
              <w:t>15.1</w:t>
            </w:r>
          </w:p>
        </w:tc>
        <w:tc>
          <w:tcPr>
            <w:tcW w:w="6360" w:type="dxa"/>
            <w:vAlign w:val="center"/>
          </w:tcPr>
          <w:p>
            <w:pPr>
              <w:spacing w:line="240" w:lineRule="atLeast"/>
              <w:rPr>
                <w:rFonts w:ascii="宋体" w:hAnsi="宋体" w:cs="宋体"/>
                <w:color w:val="auto"/>
                <w:kern w:val="0"/>
                <w:highlight w:val="none"/>
              </w:rPr>
            </w:pPr>
            <w:r>
              <w:rPr>
                <w:rFonts w:hint="eastAsia" w:ascii="宋体" w:hAnsi="宋体" w:cs="宋体"/>
                <w:color w:val="auto"/>
                <w:kern w:val="0"/>
                <w:highlight w:val="none"/>
              </w:rPr>
              <w:t>安全、文明施工（包括不影响现有环境）及环保、消防等的保证措施科学、合理、到位。</w:t>
            </w:r>
          </w:p>
          <w:p>
            <w:pPr>
              <w:outlineLvl w:val="0"/>
              <w:rPr>
                <w:rFonts w:ascii="宋体" w:hAnsi="宋体" w:cs="宋体"/>
                <w:color w:val="auto"/>
                <w:kern w:val="0"/>
                <w:highlight w:val="none"/>
              </w:rPr>
            </w:pPr>
            <w:r>
              <w:rPr>
                <w:rFonts w:hint="eastAsia" w:ascii="宋体" w:hAnsi="宋体" w:cs="宋体"/>
                <w:color w:val="auto"/>
                <w:kern w:val="0"/>
                <w:highlight w:val="none"/>
              </w:rPr>
              <w:t>1）安全、文明施工及环保、消防的保证措施科学、合理、到位，完整可行的得3分；</w:t>
            </w:r>
          </w:p>
          <w:p>
            <w:pPr>
              <w:outlineLvl w:val="0"/>
              <w:rPr>
                <w:rFonts w:ascii="宋体" w:hAnsi="宋体" w:cs="宋体"/>
                <w:color w:val="auto"/>
                <w:kern w:val="0"/>
                <w:highlight w:val="none"/>
              </w:rPr>
            </w:pPr>
            <w:r>
              <w:rPr>
                <w:rFonts w:hint="eastAsia" w:ascii="宋体" w:hAnsi="宋体" w:cs="宋体"/>
                <w:color w:val="auto"/>
                <w:kern w:val="0"/>
                <w:highlight w:val="none"/>
              </w:rPr>
              <w:t>2）安全、文明施工及环保、消防的保证措施基本科学、合理，基本满足需求，得2分</w:t>
            </w:r>
          </w:p>
          <w:p>
            <w:pPr>
              <w:outlineLvl w:val="0"/>
              <w:rPr>
                <w:rFonts w:ascii="宋体" w:hAnsi="宋体" w:cs="宋体"/>
                <w:color w:val="auto"/>
                <w:kern w:val="0"/>
                <w:highlight w:val="none"/>
              </w:rPr>
            </w:pPr>
            <w:r>
              <w:rPr>
                <w:rFonts w:hint="eastAsia" w:ascii="宋体" w:hAnsi="宋体" w:cs="宋体"/>
                <w:color w:val="auto"/>
                <w:kern w:val="0"/>
                <w:highlight w:val="none"/>
              </w:rPr>
              <w:t>3）安全、文明施工及环保、消防的保证措施欠科学、欠合理，存在瑕疵，得1分；</w:t>
            </w:r>
          </w:p>
          <w:p>
            <w:pPr>
              <w:outlineLvl w:val="0"/>
              <w:rPr>
                <w:rFonts w:ascii="宋体" w:hAnsi="宋体" w:cs="宋体"/>
                <w:color w:val="auto"/>
                <w:kern w:val="0"/>
                <w:highlight w:val="none"/>
              </w:rPr>
            </w:pPr>
            <w:r>
              <w:rPr>
                <w:rFonts w:hint="eastAsia" w:ascii="宋体" w:hAnsi="宋体" w:cs="宋体"/>
                <w:color w:val="auto"/>
                <w:kern w:val="0"/>
                <w:highlight w:val="none"/>
              </w:rPr>
              <w:t>4）安全、文明施工及环保、消防的保证措施不合理或未提供的不得分。</w:t>
            </w:r>
          </w:p>
        </w:tc>
        <w:tc>
          <w:tcPr>
            <w:tcW w:w="840" w:type="dxa"/>
            <w:vAlign w:val="center"/>
          </w:tcPr>
          <w:p>
            <w:pPr>
              <w:jc w:val="center"/>
              <w:outlineLvl w:val="0"/>
              <w:rPr>
                <w:rFonts w:ascii="宋体" w:hAnsi="宋体" w:cs="宋体"/>
                <w:color w:val="auto"/>
                <w:szCs w:val="21"/>
                <w:highlight w:val="none"/>
              </w:rPr>
            </w:pPr>
            <w:r>
              <w:rPr>
                <w:rFonts w:hint="eastAsia" w:ascii="宋体" w:hAnsi="宋体" w:cs="宋体"/>
                <w:color w:val="auto"/>
                <w:szCs w:val="21"/>
                <w:highlight w:val="none"/>
              </w:rPr>
              <w:t>3</w:t>
            </w:r>
          </w:p>
        </w:tc>
        <w:tc>
          <w:tcPr>
            <w:tcW w:w="1685" w:type="dxa"/>
            <w:vAlign w:val="center"/>
          </w:tcPr>
          <w:p>
            <w:pPr>
              <w:snapToGrid w:val="0"/>
              <w:jc w:val="center"/>
              <w:outlineLvl w:val="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3" w:hRule="atLeast"/>
        </w:trPr>
        <w:tc>
          <w:tcPr>
            <w:tcW w:w="848" w:type="dxa"/>
            <w:vAlign w:val="center"/>
          </w:tcPr>
          <w:p>
            <w:pPr>
              <w:jc w:val="center"/>
              <w:outlineLvl w:val="0"/>
              <w:rPr>
                <w:rFonts w:ascii="宋体" w:hAnsi="宋体" w:cs="宋体"/>
                <w:color w:val="auto"/>
                <w:szCs w:val="21"/>
                <w:highlight w:val="none"/>
              </w:rPr>
            </w:pPr>
            <w:r>
              <w:rPr>
                <w:rFonts w:hint="eastAsia" w:ascii="宋体" w:hAnsi="宋体" w:cs="宋体"/>
                <w:color w:val="auto"/>
                <w:szCs w:val="21"/>
                <w:highlight w:val="none"/>
              </w:rPr>
              <w:t>15.2</w:t>
            </w:r>
          </w:p>
        </w:tc>
        <w:tc>
          <w:tcPr>
            <w:tcW w:w="6360" w:type="dxa"/>
            <w:vAlign w:val="center"/>
          </w:tcPr>
          <w:p>
            <w:pPr>
              <w:outlineLvl w:val="0"/>
              <w:rPr>
                <w:rFonts w:ascii="宋体" w:hAnsi="宋体" w:cs="宋体"/>
                <w:color w:val="auto"/>
                <w:kern w:val="0"/>
                <w:highlight w:val="none"/>
              </w:rPr>
            </w:pPr>
            <w:r>
              <w:rPr>
                <w:rFonts w:hint="eastAsia" w:ascii="宋体" w:hAnsi="宋体" w:cs="宋体"/>
                <w:color w:val="auto"/>
                <w:kern w:val="0"/>
                <w:highlight w:val="none"/>
              </w:rPr>
              <w:t>施工过程中，卫生保洁管理制度是否可靠，警示标志是否合理醒目。</w:t>
            </w:r>
          </w:p>
          <w:p>
            <w:pPr>
              <w:numPr>
                <w:ilvl w:val="0"/>
                <w:numId w:val="5"/>
              </w:numPr>
              <w:outlineLvl w:val="0"/>
              <w:rPr>
                <w:rFonts w:ascii="宋体" w:hAnsi="宋体" w:cs="宋体"/>
                <w:color w:val="auto"/>
                <w:kern w:val="0"/>
                <w:highlight w:val="none"/>
              </w:rPr>
            </w:pPr>
            <w:r>
              <w:rPr>
                <w:rFonts w:hint="eastAsia" w:ascii="宋体" w:hAnsi="宋体" w:cs="宋体"/>
                <w:color w:val="auto"/>
                <w:kern w:val="0"/>
                <w:highlight w:val="none"/>
              </w:rPr>
              <w:t>卫生保洁管理制度内容完整、可靠，警示标志设置合理、醒目，得3分；</w:t>
            </w:r>
          </w:p>
          <w:p>
            <w:pPr>
              <w:numPr>
                <w:ilvl w:val="0"/>
                <w:numId w:val="5"/>
              </w:numPr>
              <w:outlineLvl w:val="0"/>
              <w:rPr>
                <w:rFonts w:ascii="宋体" w:hAnsi="宋体" w:cs="宋体"/>
                <w:color w:val="auto"/>
                <w:kern w:val="0"/>
                <w:highlight w:val="none"/>
              </w:rPr>
            </w:pPr>
            <w:r>
              <w:rPr>
                <w:rFonts w:hint="eastAsia" w:ascii="宋体" w:hAnsi="宋体" w:cs="宋体"/>
                <w:color w:val="auto"/>
                <w:kern w:val="0"/>
                <w:highlight w:val="none"/>
              </w:rPr>
              <w:t>卫生保洁管理制度较为完整、可靠，警示标志设置较为合理、醒目，得2分；</w:t>
            </w:r>
          </w:p>
          <w:p>
            <w:pPr>
              <w:numPr>
                <w:ilvl w:val="0"/>
                <w:numId w:val="5"/>
              </w:numPr>
              <w:outlineLvl w:val="0"/>
              <w:rPr>
                <w:rFonts w:ascii="宋体" w:hAnsi="宋体" w:cs="宋体"/>
                <w:color w:val="auto"/>
                <w:kern w:val="0"/>
                <w:highlight w:val="none"/>
              </w:rPr>
            </w:pPr>
            <w:r>
              <w:rPr>
                <w:rFonts w:hint="eastAsia" w:ascii="宋体" w:hAnsi="宋体" w:cs="宋体"/>
                <w:color w:val="auto"/>
                <w:kern w:val="0"/>
                <w:highlight w:val="none"/>
              </w:rPr>
              <w:t>卫生保洁管理制度内容简单，警示标志设置欠合理，不够醒目，得1分；</w:t>
            </w:r>
          </w:p>
          <w:p>
            <w:pPr>
              <w:numPr>
                <w:ilvl w:val="0"/>
                <w:numId w:val="5"/>
              </w:numPr>
              <w:outlineLvl w:val="0"/>
              <w:rPr>
                <w:rFonts w:ascii="宋体" w:hAnsi="宋体" w:cs="宋体"/>
                <w:color w:val="auto"/>
                <w:kern w:val="0"/>
                <w:highlight w:val="none"/>
              </w:rPr>
            </w:pPr>
            <w:r>
              <w:rPr>
                <w:rFonts w:hint="eastAsia" w:ascii="宋体" w:hAnsi="宋体" w:cs="宋体"/>
                <w:color w:val="auto"/>
                <w:kern w:val="0"/>
                <w:highlight w:val="none"/>
              </w:rPr>
              <w:t>卫生保洁管理制度不合理或未提供的不得分。</w:t>
            </w:r>
          </w:p>
        </w:tc>
        <w:tc>
          <w:tcPr>
            <w:tcW w:w="840" w:type="dxa"/>
            <w:vAlign w:val="center"/>
          </w:tcPr>
          <w:p>
            <w:pPr>
              <w:jc w:val="center"/>
              <w:outlineLvl w:val="0"/>
              <w:rPr>
                <w:rFonts w:ascii="宋体" w:hAnsi="宋体" w:cs="宋体"/>
                <w:color w:val="auto"/>
                <w:szCs w:val="21"/>
                <w:highlight w:val="none"/>
              </w:rPr>
            </w:pPr>
            <w:r>
              <w:rPr>
                <w:rFonts w:hint="eastAsia" w:ascii="宋体" w:hAnsi="宋体" w:cs="宋体"/>
                <w:color w:val="auto"/>
                <w:szCs w:val="21"/>
                <w:highlight w:val="none"/>
              </w:rPr>
              <w:t>3</w:t>
            </w:r>
          </w:p>
        </w:tc>
        <w:tc>
          <w:tcPr>
            <w:tcW w:w="1685" w:type="dxa"/>
            <w:vAlign w:val="center"/>
          </w:tcPr>
          <w:p>
            <w:pPr>
              <w:snapToGrid w:val="0"/>
              <w:jc w:val="center"/>
              <w:outlineLvl w:val="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4" w:hRule="atLeast"/>
        </w:trPr>
        <w:tc>
          <w:tcPr>
            <w:tcW w:w="848" w:type="dxa"/>
            <w:vAlign w:val="center"/>
          </w:tcPr>
          <w:p>
            <w:pPr>
              <w:jc w:val="center"/>
              <w:outlineLvl w:val="0"/>
              <w:rPr>
                <w:rFonts w:ascii="宋体" w:hAnsi="宋体" w:cs="宋体"/>
                <w:color w:val="auto"/>
                <w:szCs w:val="21"/>
                <w:highlight w:val="none"/>
              </w:rPr>
            </w:pPr>
            <w:r>
              <w:rPr>
                <w:rFonts w:hint="eastAsia" w:ascii="宋体" w:hAnsi="宋体" w:cs="宋体"/>
                <w:color w:val="auto"/>
                <w:szCs w:val="21"/>
                <w:highlight w:val="none"/>
              </w:rPr>
              <w:t>16</w:t>
            </w:r>
          </w:p>
        </w:tc>
        <w:tc>
          <w:tcPr>
            <w:tcW w:w="6360" w:type="dxa"/>
            <w:vAlign w:val="center"/>
          </w:tcPr>
          <w:p>
            <w:pPr>
              <w:outlineLvl w:val="0"/>
              <w:rPr>
                <w:rFonts w:ascii="宋体" w:hAnsi="宋体" w:cs="宋体"/>
                <w:color w:val="auto"/>
                <w:szCs w:val="21"/>
                <w:highlight w:val="none"/>
              </w:rPr>
            </w:pPr>
            <w:r>
              <w:rPr>
                <w:rFonts w:hint="eastAsia" w:ascii="宋体" w:hAnsi="宋体" w:cs="宋体"/>
                <w:color w:val="auto"/>
                <w:szCs w:val="21"/>
                <w:highlight w:val="none"/>
              </w:rPr>
              <w:t>验收、维修及保修期内、外后续服务方案保障措施；</w:t>
            </w:r>
          </w:p>
          <w:p>
            <w:pPr>
              <w:outlineLvl w:val="0"/>
              <w:rPr>
                <w:rFonts w:ascii="宋体" w:hAnsi="宋体" w:cs="宋体"/>
                <w:color w:val="auto"/>
                <w:szCs w:val="21"/>
                <w:highlight w:val="none"/>
              </w:rPr>
            </w:pPr>
            <w:r>
              <w:rPr>
                <w:rFonts w:hint="eastAsia" w:ascii="宋体" w:hAnsi="宋体" w:cs="宋体"/>
                <w:color w:val="auto"/>
                <w:szCs w:val="21"/>
                <w:highlight w:val="none"/>
              </w:rPr>
              <w:t>1）保障措施完善且到位的得5分；</w:t>
            </w:r>
          </w:p>
          <w:p>
            <w:pPr>
              <w:outlineLvl w:val="0"/>
              <w:rPr>
                <w:rFonts w:ascii="宋体" w:hAnsi="宋体" w:cs="宋体"/>
                <w:color w:val="auto"/>
                <w:szCs w:val="21"/>
                <w:highlight w:val="none"/>
              </w:rPr>
            </w:pPr>
            <w:r>
              <w:rPr>
                <w:rFonts w:hint="eastAsia" w:ascii="宋体" w:hAnsi="宋体" w:cs="宋体"/>
                <w:color w:val="auto"/>
                <w:szCs w:val="21"/>
                <w:highlight w:val="none"/>
              </w:rPr>
              <w:t>2）保障措施较为完善的得4分；</w:t>
            </w:r>
          </w:p>
          <w:p>
            <w:pPr>
              <w:outlineLvl w:val="0"/>
              <w:rPr>
                <w:rFonts w:ascii="宋体" w:hAnsi="宋体" w:cs="宋体"/>
                <w:color w:val="auto"/>
                <w:szCs w:val="21"/>
                <w:highlight w:val="none"/>
              </w:rPr>
            </w:pPr>
            <w:r>
              <w:rPr>
                <w:rFonts w:hint="eastAsia" w:ascii="宋体" w:hAnsi="宋体" w:cs="宋体"/>
                <w:color w:val="auto"/>
                <w:szCs w:val="21"/>
                <w:highlight w:val="none"/>
              </w:rPr>
              <w:t>3）保障措施基本完善的得3分；</w:t>
            </w:r>
          </w:p>
          <w:p>
            <w:pPr>
              <w:outlineLvl w:val="0"/>
              <w:rPr>
                <w:rFonts w:ascii="宋体" w:hAnsi="宋体" w:cs="宋体"/>
                <w:color w:val="auto"/>
                <w:szCs w:val="21"/>
                <w:highlight w:val="none"/>
              </w:rPr>
            </w:pPr>
            <w:r>
              <w:rPr>
                <w:rFonts w:hint="eastAsia" w:ascii="宋体" w:hAnsi="宋体" w:cs="宋体"/>
                <w:color w:val="auto"/>
                <w:szCs w:val="21"/>
                <w:highlight w:val="none"/>
              </w:rPr>
              <w:t>4）保障措施部分完善，存在瑕疵的得2分；</w:t>
            </w:r>
          </w:p>
          <w:p>
            <w:pPr>
              <w:outlineLvl w:val="0"/>
              <w:rPr>
                <w:rFonts w:ascii="宋体" w:hAnsi="宋体" w:cs="宋体"/>
                <w:color w:val="auto"/>
                <w:szCs w:val="21"/>
                <w:highlight w:val="none"/>
              </w:rPr>
            </w:pPr>
            <w:r>
              <w:rPr>
                <w:rFonts w:hint="eastAsia" w:ascii="宋体" w:hAnsi="宋体" w:cs="宋体"/>
                <w:color w:val="auto"/>
                <w:szCs w:val="21"/>
                <w:highlight w:val="none"/>
              </w:rPr>
              <w:t>5）保障措施不够完善，须修改后执行的得1分；</w:t>
            </w:r>
          </w:p>
          <w:p>
            <w:pPr>
              <w:outlineLvl w:val="0"/>
              <w:rPr>
                <w:rFonts w:ascii="宋体" w:hAnsi="宋体" w:cs="宋体"/>
                <w:color w:val="auto"/>
                <w:kern w:val="0"/>
                <w:highlight w:val="none"/>
              </w:rPr>
            </w:pPr>
            <w:r>
              <w:rPr>
                <w:rFonts w:hint="eastAsia" w:ascii="宋体" w:hAnsi="宋体" w:cs="宋体"/>
                <w:color w:val="auto"/>
                <w:szCs w:val="21"/>
                <w:highlight w:val="none"/>
              </w:rPr>
              <w:t>6）未提供的不得分。</w:t>
            </w:r>
          </w:p>
        </w:tc>
        <w:tc>
          <w:tcPr>
            <w:tcW w:w="840" w:type="dxa"/>
            <w:vAlign w:val="center"/>
          </w:tcPr>
          <w:p>
            <w:pPr>
              <w:jc w:val="center"/>
              <w:outlineLvl w:val="0"/>
              <w:rPr>
                <w:rFonts w:ascii="宋体" w:hAnsi="宋体" w:cs="宋体"/>
                <w:color w:val="auto"/>
                <w:szCs w:val="21"/>
                <w:highlight w:val="none"/>
              </w:rPr>
            </w:pPr>
            <w:r>
              <w:rPr>
                <w:rFonts w:hint="eastAsia" w:ascii="宋体" w:hAnsi="宋体" w:cs="宋体"/>
                <w:color w:val="auto"/>
                <w:szCs w:val="21"/>
                <w:highlight w:val="none"/>
              </w:rPr>
              <w:t>5</w:t>
            </w:r>
          </w:p>
        </w:tc>
        <w:tc>
          <w:tcPr>
            <w:tcW w:w="1685" w:type="dxa"/>
            <w:vAlign w:val="center"/>
          </w:tcPr>
          <w:p>
            <w:pPr>
              <w:snapToGrid w:val="0"/>
              <w:jc w:val="center"/>
              <w:outlineLvl w:val="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0" w:hRule="atLeast"/>
        </w:trPr>
        <w:tc>
          <w:tcPr>
            <w:tcW w:w="848" w:type="dxa"/>
            <w:vAlign w:val="center"/>
          </w:tcPr>
          <w:p>
            <w:pPr>
              <w:jc w:val="center"/>
              <w:outlineLvl w:val="0"/>
              <w:rPr>
                <w:rFonts w:ascii="宋体" w:hAnsi="宋体" w:cs="宋体"/>
                <w:color w:val="auto"/>
                <w:szCs w:val="21"/>
                <w:highlight w:val="none"/>
              </w:rPr>
            </w:pPr>
            <w:r>
              <w:rPr>
                <w:rFonts w:hint="eastAsia" w:ascii="宋体" w:hAnsi="宋体" w:cs="宋体"/>
                <w:color w:val="auto"/>
                <w:szCs w:val="21"/>
                <w:highlight w:val="none"/>
              </w:rPr>
              <w:t>17</w:t>
            </w:r>
          </w:p>
        </w:tc>
        <w:tc>
          <w:tcPr>
            <w:tcW w:w="6360" w:type="dxa"/>
            <w:vAlign w:val="center"/>
          </w:tcPr>
          <w:p>
            <w:pPr>
              <w:ind w:right="-97" w:rightChars="-46"/>
              <w:jc w:val="left"/>
              <w:rPr>
                <w:rFonts w:ascii="宋体" w:hAnsi="宋体" w:cs="宋体"/>
                <w:color w:val="auto"/>
                <w:spacing w:val="-6"/>
                <w:szCs w:val="21"/>
                <w:highlight w:val="none"/>
              </w:rPr>
            </w:pPr>
            <w:r>
              <w:rPr>
                <w:rFonts w:ascii="宋体" w:hAnsi="宋体" w:cs="宋体"/>
                <w:color w:val="auto"/>
                <w:spacing w:val="-6"/>
                <w:szCs w:val="21"/>
                <w:highlight w:val="none"/>
              </w:rPr>
              <w:t>选用材料质量保证措施能否满足要求。</w:t>
            </w:r>
          </w:p>
          <w:p>
            <w:pPr>
              <w:ind w:right="-97" w:rightChars="-46"/>
              <w:jc w:val="left"/>
              <w:rPr>
                <w:rFonts w:ascii="宋体" w:hAnsi="宋体" w:cs="宋体"/>
                <w:color w:val="auto"/>
                <w:spacing w:val="-6"/>
                <w:szCs w:val="21"/>
                <w:highlight w:val="none"/>
              </w:rPr>
            </w:pPr>
            <w:r>
              <w:rPr>
                <w:rFonts w:ascii="宋体" w:hAnsi="宋体" w:cs="宋体"/>
                <w:color w:val="auto"/>
                <w:spacing w:val="-6"/>
                <w:szCs w:val="21"/>
                <w:highlight w:val="none"/>
              </w:rPr>
              <w:t>1) 材料的选用能完全满足项目的要求，供货计划能完全满足项目的进度要求，质量保证措施合理的，</w:t>
            </w:r>
            <w:r>
              <w:rPr>
                <w:rFonts w:hint="eastAsia" w:ascii="宋体" w:hAnsi="宋体" w:cs="宋体"/>
                <w:color w:val="auto"/>
                <w:spacing w:val="-6"/>
                <w:szCs w:val="21"/>
                <w:highlight w:val="none"/>
              </w:rPr>
              <w:t>5</w:t>
            </w:r>
            <w:r>
              <w:rPr>
                <w:rFonts w:ascii="宋体" w:hAnsi="宋体" w:cs="宋体"/>
                <w:color w:val="auto"/>
                <w:spacing w:val="-6"/>
                <w:szCs w:val="21"/>
                <w:highlight w:val="none"/>
              </w:rPr>
              <w:t>分；</w:t>
            </w:r>
          </w:p>
          <w:p>
            <w:pPr>
              <w:ind w:right="-97" w:rightChars="-46"/>
              <w:jc w:val="left"/>
              <w:rPr>
                <w:rFonts w:ascii="宋体" w:hAnsi="宋体" w:cs="宋体"/>
                <w:color w:val="auto"/>
                <w:spacing w:val="-6"/>
                <w:szCs w:val="21"/>
                <w:highlight w:val="none"/>
              </w:rPr>
            </w:pPr>
            <w:r>
              <w:rPr>
                <w:rFonts w:ascii="宋体" w:hAnsi="宋体" w:cs="宋体"/>
                <w:color w:val="auto"/>
                <w:spacing w:val="-6"/>
                <w:szCs w:val="21"/>
                <w:highlight w:val="none"/>
              </w:rPr>
              <w:t>2) 材料的选用能</w:t>
            </w:r>
            <w:r>
              <w:rPr>
                <w:rFonts w:hint="eastAsia" w:ascii="宋体" w:hAnsi="宋体" w:cs="宋体"/>
                <w:color w:val="auto"/>
                <w:spacing w:val="-6"/>
                <w:szCs w:val="21"/>
                <w:highlight w:val="none"/>
              </w:rPr>
              <w:t>较好</w:t>
            </w:r>
            <w:r>
              <w:rPr>
                <w:rFonts w:ascii="宋体" w:hAnsi="宋体" w:cs="宋体"/>
                <w:color w:val="auto"/>
                <w:spacing w:val="-6"/>
                <w:szCs w:val="21"/>
                <w:highlight w:val="none"/>
              </w:rPr>
              <w:t>满足项目的要求，供货计划</w:t>
            </w:r>
            <w:r>
              <w:rPr>
                <w:rFonts w:hint="eastAsia" w:ascii="宋体" w:hAnsi="宋体" w:cs="宋体"/>
                <w:color w:val="auto"/>
                <w:spacing w:val="-6"/>
                <w:szCs w:val="21"/>
                <w:highlight w:val="none"/>
              </w:rPr>
              <w:t>较好</w:t>
            </w:r>
            <w:r>
              <w:rPr>
                <w:rFonts w:ascii="宋体" w:hAnsi="宋体" w:cs="宋体"/>
                <w:color w:val="auto"/>
                <w:spacing w:val="-6"/>
                <w:szCs w:val="21"/>
                <w:highlight w:val="none"/>
              </w:rPr>
              <w:t>满足项目的进度要求，质量保证措施比较合理的</w:t>
            </w:r>
            <w:r>
              <w:rPr>
                <w:rFonts w:hint="eastAsia" w:ascii="宋体" w:hAnsi="宋体" w:cs="宋体"/>
                <w:color w:val="auto"/>
                <w:spacing w:val="-6"/>
                <w:szCs w:val="21"/>
                <w:highlight w:val="none"/>
              </w:rPr>
              <w:t>4</w:t>
            </w:r>
            <w:r>
              <w:rPr>
                <w:rFonts w:ascii="宋体" w:hAnsi="宋体" w:cs="宋体"/>
                <w:color w:val="auto"/>
                <w:spacing w:val="-6"/>
                <w:szCs w:val="21"/>
                <w:highlight w:val="none"/>
              </w:rPr>
              <w:t>分；</w:t>
            </w:r>
          </w:p>
          <w:p>
            <w:pPr>
              <w:ind w:right="-97" w:rightChars="-46"/>
              <w:jc w:val="left"/>
              <w:rPr>
                <w:rFonts w:ascii="宋体" w:hAnsi="宋体" w:cs="宋体"/>
                <w:color w:val="auto"/>
                <w:spacing w:val="-6"/>
                <w:szCs w:val="21"/>
                <w:highlight w:val="none"/>
              </w:rPr>
            </w:pPr>
            <w:r>
              <w:rPr>
                <w:rFonts w:hint="eastAsia" w:ascii="宋体" w:hAnsi="宋体" w:cs="宋体"/>
                <w:color w:val="auto"/>
                <w:spacing w:val="-6"/>
                <w:szCs w:val="21"/>
                <w:highlight w:val="none"/>
              </w:rPr>
              <w:t>3）</w:t>
            </w:r>
            <w:r>
              <w:rPr>
                <w:rFonts w:ascii="宋体" w:hAnsi="宋体" w:cs="宋体"/>
                <w:color w:val="auto"/>
                <w:spacing w:val="-6"/>
                <w:szCs w:val="21"/>
                <w:highlight w:val="none"/>
              </w:rPr>
              <w:t>材料的选用能基本满足项目的要求，供货计划基本满足项目的进度要求，质量保证措施比较合理的3分；</w:t>
            </w:r>
          </w:p>
          <w:p>
            <w:pPr>
              <w:ind w:right="-97" w:rightChars="-46"/>
              <w:jc w:val="left"/>
              <w:rPr>
                <w:rFonts w:ascii="宋体" w:hAnsi="宋体" w:cs="宋体"/>
                <w:color w:val="auto"/>
                <w:spacing w:val="-6"/>
                <w:szCs w:val="21"/>
                <w:highlight w:val="none"/>
              </w:rPr>
            </w:pPr>
            <w:r>
              <w:rPr>
                <w:rFonts w:hint="eastAsia" w:ascii="宋体" w:hAnsi="宋体" w:cs="宋体"/>
                <w:color w:val="auto"/>
                <w:spacing w:val="-6"/>
                <w:szCs w:val="21"/>
                <w:highlight w:val="none"/>
              </w:rPr>
              <w:t>4）</w:t>
            </w:r>
            <w:r>
              <w:rPr>
                <w:rFonts w:ascii="宋体" w:hAnsi="宋体" w:cs="宋体"/>
                <w:color w:val="auto"/>
                <w:spacing w:val="-6"/>
                <w:szCs w:val="21"/>
                <w:highlight w:val="none"/>
              </w:rPr>
              <w:t>材料的选用</w:t>
            </w:r>
            <w:r>
              <w:rPr>
                <w:rFonts w:hint="eastAsia" w:ascii="宋体" w:hAnsi="宋体" w:cs="宋体"/>
                <w:color w:val="auto"/>
                <w:spacing w:val="-6"/>
                <w:szCs w:val="21"/>
                <w:highlight w:val="none"/>
              </w:rPr>
              <w:t>、</w:t>
            </w:r>
            <w:r>
              <w:rPr>
                <w:rFonts w:ascii="宋体" w:hAnsi="宋体" w:cs="宋体"/>
                <w:color w:val="auto"/>
                <w:spacing w:val="-6"/>
                <w:szCs w:val="21"/>
                <w:highlight w:val="none"/>
              </w:rPr>
              <w:t>供货计划</w:t>
            </w:r>
            <w:r>
              <w:rPr>
                <w:rFonts w:hint="eastAsia" w:ascii="宋体" w:hAnsi="宋体" w:cs="宋体"/>
                <w:color w:val="auto"/>
                <w:spacing w:val="-6"/>
                <w:szCs w:val="21"/>
                <w:highlight w:val="none"/>
              </w:rPr>
              <w:t>以及</w:t>
            </w:r>
            <w:r>
              <w:rPr>
                <w:rFonts w:ascii="宋体" w:hAnsi="宋体" w:cs="宋体"/>
                <w:color w:val="auto"/>
                <w:spacing w:val="-6"/>
                <w:szCs w:val="21"/>
                <w:highlight w:val="none"/>
              </w:rPr>
              <w:t>质量保证措施</w:t>
            </w:r>
            <w:r>
              <w:rPr>
                <w:rFonts w:hint="eastAsia" w:ascii="宋体" w:hAnsi="宋体" w:cs="宋体"/>
                <w:color w:val="auto"/>
                <w:spacing w:val="-6"/>
                <w:szCs w:val="21"/>
                <w:highlight w:val="none"/>
              </w:rPr>
              <w:t>一般，存在瑕疵，得2分；</w:t>
            </w:r>
          </w:p>
          <w:p>
            <w:pPr>
              <w:outlineLvl w:val="0"/>
              <w:rPr>
                <w:rFonts w:ascii="宋体" w:hAnsi="宋体" w:cs="宋体"/>
                <w:color w:val="auto"/>
                <w:spacing w:val="-6"/>
                <w:szCs w:val="21"/>
                <w:highlight w:val="none"/>
              </w:rPr>
            </w:pPr>
            <w:r>
              <w:rPr>
                <w:rFonts w:hint="eastAsia" w:ascii="宋体" w:hAnsi="宋体" w:cs="宋体"/>
                <w:color w:val="auto"/>
                <w:spacing w:val="-6"/>
                <w:szCs w:val="21"/>
                <w:highlight w:val="none"/>
              </w:rPr>
              <w:t>5</w:t>
            </w:r>
            <w:r>
              <w:rPr>
                <w:rFonts w:ascii="宋体" w:hAnsi="宋体" w:cs="宋体"/>
                <w:color w:val="auto"/>
                <w:spacing w:val="-6"/>
                <w:szCs w:val="21"/>
                <w:highlight w:val="none"/>
              </w:rPr>
              <w:t>)材料的选用不能</w:t>
            </w:r>
            <w:r>
              <w:rPr>
                <w:rFonts w:hint="eastAsia" w:ascii="宋体" w:hAnsi="宋体" w:cs="宋体"/>
                <w:color w:val="auto"/>
                <w:spacing w:val="-6"/>
                <w:szCs w:val="21"/>
                <w:highlight w:val="none"/>
              </w:rPr>
              <w:t>完全</w:t>
            </w:r>
            <w:r>
              <w:rPr>
                <w:rFonts w:ascii="宋体" w:hAnsi="宋体" w:cs="宋体"/>
                <w:color w:val="auto"/>
                <w:spacing w:val="-6"/>
                <w:szCs w:val="21"/>
                <w:highlight w:val="none"/>
              </w:rPr>
              <w:t>满足项目的要求，供货计划</w:t>
            </w:r>
            <w:r>
              <w:rPr>
                <w:rFonts w:hint="eastAsia" w:ascii="宋体" w:hAnsi="宋体" w:cs="宋体"/>
                <w:color w:val="auto"/>
                <w:spacing w:val="-6"/>
                <w:szCs w:val="21"/>
                <w:highlight w:val="none"/>
              </w:rPr>
              <w:t>对</w:t>
            </w:r>
            <w:r>
              <w:rPr>
                <w:rFonts w:ascii="宋体" w:hAnsi="宋体" w:cs="宋体"/>
                <w:color w:val="auto"/>
                <w:spacing w:val="-6"/>
                <w:szCs w:val="21"/>
                <w:highlight w:val="none"/>
              </w:rPr>
              <w:t>满足项目的进度要求</w:t>
            </w:r>
            <w:r>
              <w:rPr>
                <w:rFonts w:hint="eastAsia" w:ascii="宋体" w:hAnsi="宋体" w:cs="宋体"/>
                <w:color w:val="auto"/>
                <w:spacing w:val="-6"/>
                <w:szCs w:val="21"/>
                <w:highlight w:val="none"/>
              </w:rPr>
              <w:t>有欠缺</w:t>
            </w:r>
            <w:r>
              <w:rPr>
                <w:rFonts w:ascii="宋体" w:hAnsi="宋体" w:cs="宋体"/>
                <w:color w:val="auto"/>
                <w:spacing w:val="-6"/>
                <w:szCs w:val="21"/>
                <w:highlight w:val="none"/>
              </w:rPr>
              <w:t>，质量保证措施合理性一般，</w:t>
            </w:r>
            <w:r>
              <w:rPr>
                <w:rFonts w:hint="eastAsia" w:ascii="宋体" w:hAnsi="宋体" w:cs="宋体"/>
                <w:color w:val="auto"/>
                <w:spacing w:val="-6"/>
                <w:szCs w:val="21"/>
                <w:highlight w:val="none"/>
              </w:rPr>
              <w:t>需修改后执行的得</w:t>
            </w:r>
            <w:r>
              <w:rPr>
                <w:rFonts w:ascii="宋体" w:hAnsi="宋体" w:cs="宋体"/>
                <w:color w:val="auto"/>
                <w:spacing w:val="-6"/>
                <w:szCs w:val="21"/>
                <w:highlight w:val="none"/>
              </w:rPr>
              <w:t>1分</w:t>
            </w:r>
            <w:r>
              <w:rPr>
                <w:rFonts w:hint="eastAsia" w:ascii="宋体" w:hAnsi="宋体" w:cs="宋体"/>
                <w:color w:val="auto"/>
                <w:spacing w:val="-6"/>
                <w:szCs w:val="21"/>
                <w:highlight w:val="none"/>
              </w:rPr>
              <w:t>；</w:t>
            </w:r>
          </w:p>
          <w:p>
            <w:pPr>
              <w:outlineLvl w:val="0"/>
              <w:rPr>
                <w:rFonts w:ascii="宋体" w:hAnsi="宋体" w:cs="宋体"/>
                <w:color w:val="auto"/>
                <w:szCs w:val="21"/>
                <w:highlight w:val="none"/>
              </w:rPr>
            </w:pPr>
            <w:r>
              <w:rPr>
                <w:rFonts w:hint="eastAsia" w:ascii="宋体" w:hAnsi="宋体" w:cs="宋体"/>
                <w:color w:val="auto"/>
                <w:spacing w:val="-6"/>
                <w:szCs w:val="21"/>
                <w:highlight w:val="none"/>
              </w:rPr>
              <w:t>6）未提供不得分。</w:t>
            </w:r>
          </w:p>
        </w:tc>
        <w:tc>
          <w:tcPr>
            <w:tcW w:w="840" w:type="dxa"/>
            <w:vAlign w:val="center"/>
          </w:tcPr>
          <w:p>
            <w:pPr>
              <w:jc w:val="center"/>
              <w:outlineLvl w:val="0"/>
              <w:rPr>
                <w:rFonts w:ascii="宋体" w:hAnsi="宋体" w:cs="宋体"/>
                <w:bCs/>
                <w:color w:val="auto"/>
                <w:szCs w:val="21"/>
                <w:highlight w:val="none"/>
              </w:rPr>
            </w:pPr>
            <w:r>
              <w:rPr>
                <w:rFonts w:hint="eastAsia" w:ascii="宋体" w:hAnsi="宋体" w:cs="宋体"/>
                <w:bCs/>
                <w:color w:val="auto"/>
                <w:szCs w:val="21"/>
                <w:highlight w:val="none"/>
              </w:rPr>
              <w:t>5</w:t>
            </w:r>
          </w:p>
        </w:tc>
        <w:tc>
          <w:tcPr>
            <w:tcW w:w="1685" w:type="dxa"/>
            <w:vAlign w:val="center"/>
          </w:tcPr>
          <w:p>
            <w:pPr>
              <w:snapToGrid w:val="0"/>
              <w:jc w:val="center"/>
              <w:outlineLvl w:val="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4" w:hRule="atLeast"/>
        </w:trPr>
        <w:tc>
          <w:tcPr>
            <w:tcW w:w="848" w:type="dxa"/>
            <w:vAlign w:val="center"/>
          </w:tcPr>
          <w:p>
            <w:pPr>
              <w:jc w:val="center"/>
              <w:outlineLvl w:val="0"/>
              <w:rPr>
                <w:rFonts w:ascii="宋体" w:hAnsi="宋体" w:cs="宋体"/>
                <w:color w:val="auto"/>
                <w:szCs w:val="21"/>
                <w:highlight w:val="none"/>
              </w:rPr>
            </w:pPr>
            <w:r>
              <w:rPr>
                <w:rFonts w:hint="eastAsia" w:ascii="宋体" w:hAnsi="宋体" w:cs="宋体"/>
                <w:color w:val="auto"/>
                <w:szCs w:val="21"/>
                <w:highlight w:val="none"/>
              </w:rPr>
              <w:t>18</w:t>
            </w:r>
          </w:p>
        </w:tc>
        <w:tc>
          <w:tcPr>
            <w:tcW w:w="6360" w:type="dxa"/>
            <w:vAlign w:val="center"/>
          </w:tcPr>
          <w:p>
            <w:pPr>
              <w:outlineLvl w:val="0"/>
              <w:rPr>
                <w:rFonts w:ascii="宋体" w:hAnsi="宋体" w:cs="宋体"/>
                <w:color w:val="auto"/>
                <w:szCs w:val="21"/>
                <w:highlight w:val="none"/>
              </w:rPr>
            </w:pPr>
            <w:r>
              <w:rPr>
                <w:rFonts w:ascii="宋体" w:hAnsi="宋体" w:cs="宋体"/>
                <w:color w:val="auto"/>
                <w:spacing w:val="-6"/>
                <w:szCs w:val="21"/>
                <w:highlight w:val="none"/>
              </w:rPr>
              <w:t>所投材料列入政府采购节能产品、环境标志产品品目清单范围的，节能产品</w:t>
            </w:r>
            <w:r>
              <w:rPr>
                <w:rFonts w:hint="eastAsia" w:ascii="宋体" w:hAnsi="宋体" w:cs="宋体"/>
                <w:color w:val="auto"/>
                <w:spacing w:val="-6"/>
                <w:szCs w:val="21"/>
                <w:highlight w:val="none"/>
              </w:rPr>
              <w:t>1</w:t>
            </w:r>
            <w:r>
              <w:rPr>
                <w:rFonts w:ascii="宋体" w:hAnsi="宋体" w:cs="宋体"/>
                <w:color w:val="auto"/>
                <w:spacing w:val="-6"/>
                <w:szCs w:val="21"/>
                <w:highlight w:val="none"/>
              </w:rPr>
              <w:t>分，环境标志产品</w:t>
            </w:r>
            <w:r>
              <w:rPr>
                <w:rFonts w:hint="eastAsia" w:ascii="宋体" w:hAnsi="宋体" w:cs="宋体"/>
                <w:color w:val="auto"/>
                <w:spacing w:val="-6"/>
                <w:szCs w:val="21"/>
                <w:highlight w:val="none"/>
              </w:rPr>
              <w:t>1</w:t>
            </w:r>
            <w:r>
              <w:rPr>
                <w:rFonts w:ascii="宋体" w:hAnsi="宋体" w:cs="宋体"/>
                <w:color w:val="auto"/>
                <w:spacing w:val="-6"/>
                <w:szCs w:val="21"/>
                <w:highlight w:val="none"/>
              </w:rPr>
              <w:t>分。（根据最新政府采购节能产品、环境标志产品品目清单，信息查看中国政府采购网http：//www.ccgp.gov.cn进行评分，供应商应在投标文件中提供相关依据国家确定的认证机构出具的、处于有效期之内的节能产品、环境标志产品认证证书证明材料，否则不得分）</w:t>
            </w:r>
            <w:r>
              <w:rPr>
                <w:rFonts w:hint="eastAsia" w:ascii="宋体" w:hAnsi="宋体" w:cs="宋体"/>
                <w:color w:val="auto"/>
                <w:spacing w:val="-6"/>
                <w:szCs w:val="21"/>
                <w:highlight w:val="none"/>
              </w:rPr>
              <w:t>。</w:t>
            </w:r>
          </w:p>
        </w:tc>
        <w:tc>
          <w:tcPr>
            <w:tcW w:w="840" w:type="dxa"/>
            <w:vAlign w:val="center"/>
          </w:tcPr>
          <w:p>
            <w:pPr>
              <w:jc w:val="center"/>
              <w:outlineLvl w:val="0"/>
              <w:rPr>
                <w:rFonts w:ascii="宋体" w:hAnsi="宋体" w:cs="宋体"/>
                <w:bCs/>
                <w:color w:val="auto"/>
                <w:szCs w:val="21"/>
                <w:highlight w:val="none"/>
              </w:rPr>
            </w:pPr>
            <w:r>
              <w:rPr>
                <w:rFonts w:hint="eastAsia" w:ascii="宋体" w:hAnsi="宋体" w:cs="宋体"/>
                <w:color w:val="auto"/>
                <w:szCs w:val="21"/>
                <w:highlight w:val="none"/>
              </w:rPr>
              <w:t>2</w:t>
            </w:r>
          </w:p>
        </w:tc>
        <w:tc>
          <w:tcPr>
            <w:tcW w:w="1685" w:type="dxa"/>
            <w:vAlign w:val="center"/>
          </w:tcPr>
          <w:p>
            <w:pPr>
              <w:snapToGrid w:val="0"/>
              <w:jc w:val="center"/>
              <w:outlineLvl w:val="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2" w:hRule="atLeast"/>
        </w:trPr>
        <w:tc>
          <w:tcPr>
            <w:tcW w:w="848" w:type="dxa"/>
            <w:vAlign w:val="center"/>
          </w:tcPr>
          <w:p>
            <w:pPr>
              <w:snapToGrid w:val="0"/>
              <w:jc w:val="center"/>
              <w:outlineLvl w:val="0"/>
              <w:rPr>
                <w:rFonts w:ascii="宋体" w:hAnsi="宋体" w:cs="宋体"/>
                <w:color w:val="auto"/>
                <w:szCs w:val="21"/>
                <w:highlight w:val="none"/>
              </w:rPr>
            </w:pPr>
            <w:r>
              <w:rPr>
                <w:rFonts w:hint="eastAsia" w:ascii="宋体" w:hAnsi="宋体" w:cs="宋体"/>
                <w:color w:val="auto"/>
                <w:szCs w:val="21"/>
                <w:highlight w:val="none"/>
              </w:rPr>
              <w:t>19</w:t>
            </w:r>
          </w:p>
        </w:tc>
        <w:tc>
          <w:tcPr>
            <w:tcW w:w="6360" w:type="dxa"/>
            <w:vAlign w:val="center"/>
          </w:tcPr>
          <w:p>
            <w:pPr>
              <w:snapToGrid w:val="0"/>
              <w:outlineLvl w:val="0"/>
              <w:rPr>
                <w:rFonts w:ascii="宋体" w:hAnsi="宋体" w:cs="宋体"/>
                <w:color w:val="auto"/>
                <w:szCs w:val="21"/>
                <w:highlight w:val="none"/>
              </w:rPr>
            </w:pPr>
            <w:r>
              <w:rPr>
                <w:rFonts w:hint="eastAsia" w:ascii="宋体" w:hAnsi="宋体" w:cs="宋体"/>
                <w:color w:val="auto"/>
                <w:szCs w:val="21"/>
                <w:highlight w:val="none"/>
              </w:rPr>
              <w:t>有效最后报价的最低价作为评审基准价，其最低报价为满分；按［最后报价得分=（评审基准价/最后报价）*20］的计算公式计算。</w:t>
            </w:r>
          </w:p>
          <w:p>
            <w:pPr>
              <w:widowControl/>
              <w:shd w:val="clear" w:color="auto" w:fill="FFFFFF"/>
              <w:adjustRightInd/>
              <w:snapToGrid w:val="0"/>
              <w:ind w:firstLine="420"/>
              <w:rPr>
                <w:rFonts w:ascii="宋体" w:hAnsi="宋体" w:cs="宋体"/>
                <w:color w:val="auto"/>
                <w:szCs w:val="21"/>
                <w:highlight w:val="none"/>
              </w:rPr>
            </w:pPr>
            <w:r>
              <w:rPr>
                <w:rFonts w:hint="eastAsia" w:ascii="宋体" w:hAnsi="宋体" w:cs="宋体"/>
                <w:color w:val="auto"/>
                <w:szCs w:val="21"/>
                <w:highlight w:val="none"/>
              </w:rPr>
              <w:t>评审过程中，不得去掉报价中的最高报价和最低报价。</w:t>
            </w:r>
          </w:p>
          <w:p>
            <w:pPr>
              <w:widowControl/>
              <w:shd w:val="clear" w:color="auto" w:fill="FFFFFF"/>
              <w:adjustRightInd/>
              <w:snapToGrid w:val="0"/>
              <w:ind w:firstLine="420"/>
              <w:rPr>
                <w:rFonts w:ascii="宋体" w:hAnsi="宋体" w:cs="宋体"/>
                <w:color w:val="auto"/>
                <w:szCs w:val="21"/>
                <w:highlight w:val="none"/>
              </w:rPr>
            </w:pPr>
            <w:r>
              <w:rPr>
                <w:rFonts w:hint="eastAsia" w:ascii="宋体" w:hAnsi="宋体" w:cs="宋体"/>
                <w:b/>
                <w:bCs/>
                <w:color w:val="auto"/>
                <w:szCs w:val="21"/>
                <w:highlight w:val="none"/>
                <w:lang w:val="zh-CN"/>
              </w:rPr>
              <w:t>落实政府采购政策说明：本项目面向</w:t>
            </w:r>
            <w:r>
              <w:rPr>
                <w:rFonts w:hint="eastAsia" w:ascii="宋体" w:hAnsi="宋体" w:cs="宋体"/>
                <w:b/>
                <w:bCs/>
                <w:color w:val="auto"/>
                <w:szCs w:val="21"/>
                <w:highlight w:val="none"/>
              </w:rPr>
              <w:t>小微</w:t>
            </w:r>
            <w:r>
              <w:rPr>
                <w:rFonts w:hint="eastAsia" w:ascii="宋体" w:hAnsi="宋体" w:cs="宋体"/>
                <w:b/>
                <w:bCs/>
                <w:color w:val="auto"/>
                <w:szCs w:val="21"/>
                <w:highlight w:val="none"/>
                <w:lang w:val="zh-CN"/>
              </w:rPr>
              <w:t>企业采购，不进行价格扣除或价格分加分。</w:t>
            </w:r>
          </w:p>
        </w:tc>
        <w:tc>
          <w:tcPr>
            <w:tcW w:w="840" w:type="dxa"/>
            <w:vAlign w:val="center"/>
          </w:tcPr>
          <w:p>
            <w:pPr>
              <w:snapToGrid w:val="0"/>
              <w:jc w:val="center"/>
              <w:outlineLvl w:val="0"/>
              <w:rPr>
                <w:rFonts w:ascii="宋体" w:hAnsi="宋体" w:cs="宋体"/>
                <w:bCs/>
                <w:color w:val="auto"/>
                <w:szCs w:val="21"/>
                <w:highlight w:val="none"/>
              </w:rPr>
            </w:pPr>
            <w:r>
              <w:rPr>
                <w:rFonts w:hint="eastAsia" w:ascii="宋体" w:hAnsi="宋体" w:cs="宋体"/>
                <w:bCs/>
                <w:color w:val="auto"/>
                <w:szCs w:val="21"/>
                <w:highlight w:val="none"/>
              </w:rPr>
              <w:t>20</w:t>
            </w:r>
          </w:p>
        </w:tc>
        <w:tc>
          <w:tcPr>
            <w:tcW w:w="1685" w:type="dxa"/>
            <w:vAlign w:val="center"/>
          </w:tcPr>
          <w:p>
            <w:pPr>
              <w:snapToGrid w:val="0"/>
              <w:jc w:val="center"/>
              <w:outlineLvl w:val="0"/>
              <w:rPr>
                <w:rFonts w:ascii="宋体" w:hAnsi="宋体" w:cs="宋体"/>
                <w:color w:val="auto"/>
                <w:szCs w:val="21"/>
                <w:highlight w:val="none"/>
              </w:rPr>
            </w:pPr>
            <w:r>
              <w:rPr>
                <w:rFonts w:hint="eastAsia" w:ascii="宋体" w:hAnsi="宋体" w:cs="宋体"/>
                <w:color w:val="auto"/>
                <w:szCs w:val="21"/>
                <w:highlight w:val="none"/>
              </w:rPr>
              <w:t>/</w:t>
            </w:r>
          </w:p>
        </w:tc>
      </w:tr>
    </w:tbl>
    <w:p>
      <w:pPr>
        <w:snapToGrid w:val="0"/>
        <w:spacing w:line="360" w:lineRule="auto"/>
        <w:rPr>
          <w:rFonts w:ascii="宋体" w:hAnsi="宋体" w:cs="宋体"/>
          <w:b/>
          <w:color w:val="auto"/>
          <w:sz w:val="24"/>
          <w:highlight w:val="none"/>
        </w:rPr>
      </w:pPr>
      <w:r>
        <w:rPr>
          <w:rFonts w:hint="eastAsia" w:ascii="宋体" w:hAnsi="宋体" w:cs="宋体"/>
          <w:color w:val="auto"/>
          <w:sz w:val="20"/>
          <w:szCs w:val="20"/>
          <w:highlight w:val="none"/>
          <w:shd w:val="clear" w:color="auto" w:fill="FFFFFF"/>
        </w:rPr>
        <w:t> *</w:t>
      </w:r>
      <w:r>
        <w:rPr>
          <w:rFonts w:hint="eastAsia" w:ascii="宋体" w:hAnsi="宋体" w:cs="宋体"/>
          <w:b/>
          <w:color w:val="auto"/>
          <w:sz w:val="24"/>
          <w:highlight w:val="none"/>
        </w:rPr>
        <w:t>备注：</w:t>
      </w:r>
      <w:r>
        <w:rPr>
          <w:rFonts w:hint="eastAsia" w:ascii="宋体" w:hAnsi="宋体" w:cs="宋体"/>
          <w:color w:val="auto"/>
          <w:sz w:val="24"/>
          <w:highlight w:val="none"/>
        </w:rPr>
        <w:t>供应商编制响应文件（商务技术文件部分）时，建议按此目录（序号和内容）提供评审标准相应的商务技术资料。 </w:t>
      </w:r>
    </w:p>
    <w:p>
      <w:pPr>
        <w:jc w:val="left"/>
        <w:rPr>
          <w:rFonts w:ascii="宋体" w:hAnsi="宋体" w:cs="宋体"/>
          <w:b/>
          <w:color w:val="auto"/>
          <w:sz w:val="32"/>
          <w:highlight w:val="none"/>
        </w:rPr>
      </w:pPr>
      <w:r>
        <w:rPr>
          <w:rFonts w:hint="eastAsia" w:ascii="宋体" w:hAnsi="宋体" w:cs="宋体"/>
          <w:b/>
          <w:color w:val="auto"/>
          <w:sz w:val="32"/>
          <w:highlight w:val="none"/>
        </w:rPr>
        <w:br w:type="page"/>
      </w:r>
    </w:p>
    <w:p>
      <w:pPr>
        <w:snapToGrid w:val="0"/>
        <w:spacing w:line="360" w:lineRule="auto"/>
        <w:jc w:val="center"/>
        <w:rPr>
          <w:rFonts w:ascii="宋体" w:hAnsi="宋体" w:cs="宋体"/>
          <w:b/>
          <w:color w:val="auto"/>
          <w:sz w:val="28"/>
          <w:szCs w:val="28"/>
          <w:highlight w:val="none"/>
        </w:rPr>
      </w:pPr>
      <w:r>
        <w:rPr>
          <w:rFonts w:hint="eastAsia" w:ascii="宋体" w:hAnsi="宋体" w:cs="宋体"/>
          <w:b/>
          <w:color w:val="auto"/>
          <w:sz w:val="32"/>
          <w:highlight w:val="none"/>
        </w:rPr>
        <w:t>一、评审方法</w:t>
      </w:r>
    </w:p>
    <w:p>
      <w:pPr>
        <w:adjustRightInd/>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1.本项目采用综合评分法。</w:t>
      </w:r>
      <w:r>
        <w:rPr>
          <w:rFonts w:hint="eastAsia" w:ascii="宋体" w:hAnsi="宋体" w:cs="宋体"/>
          <w:color w:val="auto"/>
          <w:kern w:val="0"/>
          <w:sz w:val="24"/>
          <w:highlight w:val="none"/>
        </w:rPr>
        <w:t>综合评分法，是指响应文件满足磋商文件全部实质性要求且按评审因素的量化指标评审得分最高的供应商为成交候选供应商的评审方法。</w:t>
      </w:r>
    </w:p>
    <w:p>
      <w:pPr>
        <w:snapToGrid w:val="0"/>
        <w:spacing w:line="360" w:lineRule="auto"/>
        <w:jc w:val="center"/>
        <w:rPr>
          <w:rFonts w:ascii="宋体" w:hAnsi="宋体" w:cs="宋体"/>
          <w:b/>
          <w:color w:val="auto"/>
          <w:sz w:val="32"/>
          <w:highlight w:val="none"/>
        </w:rPr>
      </w:pPr>
      <w:r>
        <w:rPr>
          <w:rFonts w:hint="eastAsia" w:ascii="宋体" w:hAnsi="宋体" w:cs="宋体"/>
          <w:b/>
          <w:color w:val="auto"/>
          <w:sz w:val="32"/>
          <w:highlight w:val="none"/>
        </w:rPr>
        <w:t>二、评审标准</w:t>
      </w:r>
    </w:p>
    <w:p>
      <w:pPr>
        <w:spacing w:line="360" w:lineRule="auto"/>
        <w:ind w:firstLine="472" w:firstLineChars="196"/>
        <w:rPr>
          <w:rFonts w:ascii="宋体" w:hAnsi="宋体" w:cs="宋体"/>
          <w:b/>
          <w:color w:val="auto"/>
          <w:sz w:val="24"/>
          <w:highlight w:val="none"/>
        </w:rPr>
      </w:pPr>
      <w:r>
        <w:rPr>
          <w:rFonts w:hint="eastAsia" w:ascii="宋体" w:hAnsi="宋体" w:cs="宋体"/>
          <w:b/>
          <w:color w:val="auto"/>
          <w:sz w:val="24"/>
          <w:highlight w:val="none"/>
        </w:rPr>
        <w:t>2.</w:t>
      </w:r>
      <w:r>
        <w:rPr>
          <w:rFonts w:hint="eastAsia" w:ascii="宋体" w:hAnsi="宋体" w:cs="宋体"/>
          <w:color w:val="auto"/>
          <w:highlight w:val="none"/>
        </w:rPr>
        <w:t xml:space="preserve"> </w:t>
      </w:r>
      <w:r>
        <w:rPr>
          <w:rFonts w:hint="eastAsia" w:ascii="宋体" w:hAnsi="宋体" w:cs="宋体"/>
          <w:b/>
          <w:color w:val="auto"/>
          <w:sz w:val="24"/>
          <w:highlight w:val="none"/>
        </w:rPr>
        <w:t>评审标准：</w:t>
      </w:r>
      <w:r>
        <w:rPr>
          <w:rFonts w:hint="eastAsia" w:ascii="宋体" w:hAnsi="宋体" w:cs="宋体"/>
          <w:color w:val="auto"/>
          <w:kern w:val="0"/>
          <w:sz w:val="24"/>
          <w:highlight w:val="none"/>
        </w:rPr>
        <w:t>见评审办法前附表。</w:t>
      </w:r>
    </w:p>
    <w:p>
      <w:pPr>
        <w:snapToGrid w:val="0"/>
        <w:spacing w:line="360" w:lineRule="auto"/>
        <w:jc w:val="center"/>
        <w:rPr>
          <w:rFonts w:ascii="宋体" w:hAnsi="宋体" w:cs="宋体"/>
          <w:b/>
          <w:color w:val="auto"/>
          <w:sz w:val="32"/>
          <w:highlight w:val="none"/>
        </w:rPr>
      </w:pPr>
      <w:r>
        <w:rPr>
          <w:rFonts w:hint="eastAsia" w:ascii="宋体" w:hAnsi="宋体" w:cs="宋体"/>
          <w:b/>
          <w:color w:val="auto"/>
          <w:sz w:val="32"/>
          <w:highlight w:val="none"/>
        </w:rPr>
        <w:t>三、评审程序</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3.1符合性审查。</w:t>
      </w:r>
      <w:r>
        <w:rPr>
          <w:rFonts w:hint="eastAsia" w:ascii="宋体" w:hAnsi="宋体" w:cs="宋体"/>
          <w:color w:val="auto"/>
          <w:kern w:val="0"/>
          <w:sz w:val="24"/>
          <w:highlight w:val="none"/>
        </w:rPr>
        <w:t>磋商小组应当对符合资格的供应商的响应文件进行符合性审查，以确定其是否满足采购文件的实质性要求。不满足采购文件的实质性要求的，响应文件无效。</w:t>
      </w:r>
    </w:p>
    <w:p>
      <w:pPr>
        <w:spacing w:line="360" w:lineRule="auto"/>
        <w:ind w:firstLine="472" w:firstLineChars="196"/>
        <w:rPr>
          <w:rFonts w:ascii="宋体" w:hAnsi="宋体" w:cs="宋体"/>
          <w:color w:val="auto"/>
          <w:sz w:val="24"/>
          <w:highlight w:val="none"/>
        </w:rPr>
      </w:pPr>
      <w:r>
        <w:rPr>
          <w:rFonts w:hint="eastAsia" w:ascii="宋体" w:hAnsi="宋体" w:cs="宋体"/>
          <w:b/>
          <w:color w:val="auto"/>
          <w:kern w:val="0"/>
          <w:sz w:val="24"/>
          <w:highlight w:val="none"/>
        </w:rPr>
        <w:t>3.2 磋商。</w:t>
      </w:r>
      <w:r>
        <w:rPr>
          <w:rFonts w:hint="eastAsia" w:ascii="宋体" w:hAnsi="宋体" w:cs="宋体"/>
          <w:color w:val="auto"/>
          <w:sz w:val="24"/>
          <w:highlight w:val="none"/>
        </w:rPr>
        <w:t>磋商小组将对确定为实质性响应本采购文件的响应文件进行详细评价和比较，主要就资信、服务方案内容、服务承诺等磋商小组认为与本次采购有关的因素与</w:t>
      </w:r>
      <w:r>
        <w:rPr>
          <w:rFonts w:hint="eastAsia" w:ascii="宋体" w:hAnsi="宋体" w:cs="宋体"/>
          <w:color w:val="auto"/>
          <w:kern w:val="0"/>
          <w:sz w:val="24"/>
          <w:highlight w:val="none"/>
        </w:rPr>
        <w:t>符合性审查合格的</w:t>
      </w:r>
      <w:r>
        <w:rPr>
          <w:rFonts w:hint="eastAsia" w:ascii="宋体" w:hAnsi="宋体" w:cs="宋体"/>
          <w:color w:val="auto"/>
          <w:sz w:val="24"/>
          <w:highlight w:val="none"/>
        </w:rPr>
        <w:t>供应商逐一进行磋商。</w:t>
      </w:r>
    </w:p>
    <w:p>
      <w:pPr>
        <w:spacing w:line="360" w:lineRule="auto"/>
        <w:ind w:firstLine="470" w:firstLineChars="196"/>
        <w:rPr>
          <w:rFonts w:ascii="宋体" w:hAnsi="宋体" w:cs="宋体"/>
          <w:b/>
          <w:color w:val="auto"/>
          <w:sz w:val="24"/>
          <w:highlight w:val="none"/>
        </w:rPr>
      </w:pPr>
      <w:r>
        <w:rPr>
          <w:rFonts w:hint="eastAsia" w:ascii="宋体" w:hAnsi="宋体" w:cs="宋体"/>
          <w:bCs/>
          <w:color w:val="auto"/>
          <w:sz w:val="24"/>
          <w:highlight w:val="none"/>
        </w:rPr>
        <w:t xml:space="preserve">3.2.1 </w:t>
      </w:r>
      <w:r>
        <w:rPr>
          <w:rFonts w:hint="eastAsia" w:ascii="宋体" w:hAnsi="宋体" w:cs="宋体"/>
          <w:color w:val="auto"/>
          <w:sz w:val="24"/>
          <w:highlight w:val="none"/>
        </w:rPr>
        <w:t>供应商逐家回答磋商小组的提问；</w:t>
      </w:r>
      <w:r>
        <w:rPr>
          <w:rFonts w:hint="eastAsia" w:ascii="宋体" w:hAnsi="宋体" w:cs="宋体"/>
          <w:b/>
          <w:color w:val="auto"/>
          <w:sz w:val="24"/>
          <w:highlight w:val="none"/>
        </w:rPr>
        <w:t>逐家磋商一次为一个轮次，磋商轮次根据实际情况进行。</w:t>
      </w:r>
    </w:p>
    <w:p>
      <w:pPr>
        <w:spacing w:line="360" w:lineRule="auto"/>
        <w:ind w:firstLine="470" w:firstLineChars="196"/>
        <w:rPr>
          <w:rFonts w:ascii="宋体" w:hAnsi="宋体" w:cs="宋体"/>
          <w:color w:val="auto"/>
          <w:sz w:val="24"/>
          <w:highlight w:val="none"/>
        </w:rPr>
      </w:pPr>
      <w:r>
        <w:rPr>
          <w:rFonts w:hint="eastAsia" w:ascii="宋体" w:hAnsi="宋体" w:cs="宋体"/>
          <w:bCs/>
          <w:color w:val="auto"/>
          <w:sz w:val="24"/>
          <w:highlight w:val="none"/>
        </w:rPr>
        <w:t xml:space="preserve">3.2.2 </w:t>
      </w:r>
      <w:r>
        <w:rPr>
          <w:rFonts w:hint="eastAsia" w:ascii="宋体" w:hAnsi="宋体" w:cs="宋体"/>
          <w:color w:val="auto"/>
          <w:sz w:val="24"/>
          <w:highlight w:val="none"/>
        </w:rPr>
        <w:t>供应商应按磋商小组通知的时间在线或以邮件回复做出承诺或回复，承诺或回复的内容须由供应商法定代表人或授权代表签署，并作为响应文件的补充部分。</w:t>
      </w:r>
    </w:p>
    <w:p>
      <w:pPr>
        <w:spacing w:line="360" w:lineRule="auto"/>
        <w:ind w:firstLine="470" w:firstLineChars="196"/>
        <w:rPr>
          <w:rFonts w:ascii="宋体" w:hAnsi="宋体" w:cs="宋体"/>
          <w:bCs/>
          <w:color w:val="auto"/>
          <w:kern w:val="0"/>
          <w:sz w:val="24"/>
          <w:highlight w:val="none"/>
        </w:rPr>
      </w:pPr>
      <w:r>
        <w:rPr>
          <w:rFonts w:hint="eastAsia" w:ascii="宋体" w:hAnsi="宋体" w:cs="宋体"/>
          <w:color w:val="auto"/>
          <w:sz w:val="24"/>
          <w:highlight w:val="none"/>
        </w:rPr>
        <w:t xml:space="preserve">3.2.3 </w:t>
      </w:r>
      <w:r>
        <w:rPr>
          <w:rFonts w:hint="eastAsia" w:ascii="宋体" w:hAnsi="宋体" w:cs="宋体"/>
          <w:b/>
          <w:bCs/>
          <w:color w:val="auto"/>
          <w:sz w:val="24"/>
          <w:highlight w:val="none"/>
        </w:rPr>
        <w:t>在磋商过程中，磋商小组可以根据磋商文件和磋商情况实质性变动采购需求中的“※”号技术、服务要求以及合同草案中的“※”号条款，但不得变动磋商文件中的其他内容。</w:t>
      </w:r>
      <w:r>
        <w:rPr>
          <w:rFonts w:hint="eastAsia" w:ascii="宋体" w:hAnsi="宋体" w:cs="宋体"/>
          <w:color w:val="auto"/>
          <w:sz w:val="24"/>
          <w:highlight w:val="none"/>
        </w:rPr>
        <w:t>实质性变动的内容，须经采购人代表确认。磋商文件有实质性变动的，磋商小组将以书面形式通知所有</w:t>
      </w:r>
      <w:r>
        <w:rPr>
          <w:rFonts w:hint="eastAsia" w:ascii="宋体" w:hAnsi="宋体" w:cs="宋体"/>
          <w:color w:val="auto"/>
          <w:kern w:val="0"/>
          <w:sz w:val="24"/>
          <w:highlight w:val="none"/>
        </w:rPr>
        <w:t>符合性审查合格的</w:t>
      </w:r>
      <w:r>
        <w:rPr>
          <w:rFonts w:hint="eastAsia" w:ascii="宋体" w:hAnsi="宋体" w:cs="宋体"/>
          <w:color w:val="auto"/>
          <w:sz w:val="24"/>
          <w:highlight w:val="none"/>
        </w:rPr>
        <w:t xml:space="preserve">供应商。 </w:t>
      </w:r>
    </w:p>
    <w:p>
      <w:pPr>
        <w:spacing w:line="360" w:lineRule="auto"/>
        <w:ind w:firstLine="472" w:firstLineChars="196"/>
        <w:rPr>
          <w:rFonts w:ascii="宋体" w:hAnsi="宋体" w:cs="宋体"/>
          <w:b/>
          <w:bCs/>
          <w:color w:val="auto"/>
          <w:kern w:val="0"/>
          <w:sz w:val="24"/>
          <w:highlight w:val="none"/>
        </w:rPr>
      </w:pPr>
      <w:r>
        <w:rPr>
          <w:rFonts w:hint="eastAsia" w:ascii="宋体" w:hAnsi="宋体" w:cs="宋体"/>
          <w:b/>
          <w:bCs/>
          <w:color w:val="auto"/>
          <w:kern w:val="0"/>
          <w:sz w:val="24"/>
          <w:highlight w:val="none"/>
        </w:rPr>
        <w:t>3.3最后报价</w:t>
      </w:r>
    </w:p>
    <w:p>
      <w:pPr>
        <w:spacing w:line="360" w:lineRule="auto"/>
        <w:ind w:firstLine="470" w:firstLineChars="196"/>
        <w:rPr>
          <w:rFonts w:ascii="宋体" w:hAnsi="宋体" w:cs="宋体"/>
          <w:color w:val="auto"/>
          <w:kern w:val="0"/>
          <w:sz w:val="24"/>
          <w:highlight w:val="none"/>
        </w:rPr>
      </w:pPr>
      <w:r>
        <w:rPr>
          <w:rFonts w:hint="eastAsia" w:ascii="宋体" w:hAnsi="宋体" w:cs="宋体"/>
          <w:color w:val="auto"/>
          <w:kern w:val="0"/>
          <w:sz w:val="24"/>
          <w:highlight w:val="none"/>
        </w:rPr>
        <w:t>3.3.1 磋商文件能够详细列明采购标的的技术、服务要求的，磋商结束后，磋商小组应当要求所有符合性审查合格的供应商在规定时间内提交最后报价，提交最后报价的供应商不得少于3家。</w:t>
      </w:r>
    </w:p>
    <w:p>
      <w:pPr>
        <w:spacing w:line="360" w:lineRule="auto"/>
        <w:ind w:firstLine="470" w:firstLineChars="196"/>
        <w:rPr>
          <w:rFonts w:ascii="宋体" w:hAnsi="宋体" w:cs="宋体"/>
          <w:color w:val="auto"/>
          <w:kern w:val="0"/>
          <w:sz w:val="24"/>
          <w:highlight w:val="none"/>
        </w:rPr>
      </w:pPr>
      <w:r>
        <w:rPr>
          <w:rFonts w:hint="eastAsia" w:ascii="宋体" w:hAnsi="宋体" w:cs="宋体"/>
          <w:color w:val="auto"/>
          <w:kern w:val="0"/>
          <w:sz w:val="24"/>
          <w:highlight w:val="none"/>
        </w:rPr>
        <w:t>3.3.2 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spacing w:line="360" w:lineRule="auto"/>
        <w:ind w:firstLine="470" w:firstLineChars="196"/>
        <w:rPr>
          <w:rFonts w:ascii="宋体" w:hAnsi="宋体" w:cs="宋体"/>
          <w:color w:val="auto"/>
          <w:kern w:val="0"/>
          <w:sz w:val="24"/>
          <w:highlight w:val="none"/>
        </w:rPr>
      </w:pPr>
      <w:r>
        <w:rPr>
          <w:rFonts w:hint="eastAsia" w:ascii="宋体" w:hAnsi="宋体" w:cs="宋体"/>
          <w:color w:val="auto"/>
          <w:kern w:val="0"/>
          <w:sz w:val="24"/>
          <w:highlight w:val="none"/>
        </w:rPr>
        <w:t>3.3.3 已提交响应文件的供应商，在提交最后报价之前，可以根据磋商情况退出磋商</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3.4 综合评分。</w:t>
      </w:r>
      <w:r>
        <w:rPr>
          <w:rFonts w:hint="eastAsia" w:ascii="宋体" w:hAnsi="宋体" w:cs="宋体"/>
          <w:bCs/>
          <w:color w:val="auto"/>
          <w:kern w:val="0"/>
          <w:sz w:val="24"/>
          <w:highlight w:val="none"/>
        </w:rPr>
        <w:t>经磋商确定最终采购需求和提交最后报价的供应商后，</w:t>
      </w:r>
      <w:r>
        <w:rPr>
          <w:rFonts w:hint="eastAsia" w:ascii="宋体" w:hAnsi="宋体" w:cs="宋体"/>
          <w:color w:val="auto"/>
          <w:kern w:val="0"/>
          <w:sz w:val="24"/>
          <w:highlight w:val="none"/>
        </w:rPr>
        <w:t>磋商小组应当按照采购文件中规定的评审标准，对符合性审查合格的响应文件进行综合评分。磋商文件中没有规定的评审标准不得作为评审依据。</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3.5汇总商务技术得分。</w:t>
      </w:r>
      <w:r>
        <w:rPr>
          <w:rFonts w:hint="eastAsia" w:ascii="宋体" w:hAnsi="宋体" w:cs="宋体"/>
          <w:color w:val="auto"/>
          <w:kern w:val="0"/>
          <w:sz w:val="24"/>
          <w:highlight w:val="none"/>
        </w:rPr>
        <w:t>磋商小组各成员应当独立对每个供应商的商务和技术文件进行评价，并汇总商务技术得分情况</w:t>
      </w:r>
      <w:r>
        <w:rPr>
          <w:rFonts w:hint="eastAsia" w:ascii="宋体" w:hAnsi="宋体" w:cs="宋体"/>
          <w:color w:val="auto"/>
          <w:kern w:val="0"/>
          <w:sz w:val="24"/>
          <w:highlight w:val="none"/>
        </w:rPr>
        <w:t>。磋商小组成员总评分偏离平均分30%以上的，以及个人主观打分偏离所有磋商小组成员主观打分平均值</w:t>
      </w:r>
      <w:r>
        <w:rPr>
          <w:rFonts w:ascii="宋体" w:hAnsi="宋体" w:cs="宋体"/>
          <w:color w:val="auto"/>
          <w:kern w:val="0"/>
          <w:sz w:val="24"/>
          <w:highlight w:val="none"/>
        </w:rPr>
        <w:t>30%以上的，由</w:t>
      </w:r>
      <w:r>
        <w:rPr>
          <w:rFonts w:hint="eastAsia" w:ascii="宋体" w:hAnsi="宋体" w:cs="宋体"/>
          <w:color w:val="auto"/>
          <w:kern w:val="0"/>
          <w:sz w:val="24"/>
          <w:highlight w:val="none"/>
        </w:rPr>
        <w:t>磋商小组</w:t>
      </w:r>
      <w:r>
        <w:rPr>
          <w:rFonts w:ascii="宋体" w:hAnsi="宋体" w:cs="宋体"/>
          <w:color w:val="auto"/>
          <w:kern w:val="0"/>
          <w:sz w:val="24"/>
          <w:highlight w:val="none"/>
        </w:rPr>
        <w:t>启动评分畸高、畸低行为认定程序</w:t>
      </w:r>
      <w:r>
        <w:rPr>
          <w:rFonts w:hint="eastAsia" w:ascii="宋体" w:hAnsi="宋体" w:cs="宋体"/>
          <w:color w:val="auto"/>
          <w:kern w:val="0"/>
          <w:sz w:val="24"/>
          <w:highlight w:val="none"/>
        </w:rPr>
        <w:t>，磋商小组组长应提醒相关评审人员进行复核或书面说明理由，评审人员拒绝说明的，由现场监督员据实记录；评审人员的评审、修改记录应保留原件，随项目其他资料一并存档。</w:t>
      </w:r>
    </w:p>
    <w:p>
      <w:pPr>
        <w:spacing w:line="360" w:lineRule="auto"/>
        <w:ind w:firstLine="472" w:firstLineChars="196"/>
        <w:rPr>
          <w:rFonts w:ascii="宋体" w:hAnsi="宋体" w:cs="宋体"/>
          <w:b/>
          <w:color w:val="auto"/>
          <w:kern w:val="0"/>
          <w:sz w:val="24"/>
          <w:highlight w:val="none"/>
        </w:rPr>
      </w:pPr>
      <w:r>
        <w:rPr>
          <w:rFonts w:hint="eastAsia" w:ascii="宋体" w:hAnsi="宋体" w:cs="宋体"/>
          <w:b/>
          <w:color w:val="auto"/>
          <w:kern w:val="0"/>
          <w:sz w:val="24"/>
          <w:highlight w:val="none"/>
        </w:rPr>
        <w:t>3.6报价评审。</w:t>
      </w:r>
    </w:p>
    <w:p>
      <w:pPr>
        <w:pStyle w:val="131"/>
        <w:spacing w:before="0"/>
        <w:ind w:firstLine="508" w:firstLineChars="212"/>
        <w:rPr>
          <w:rFonts w:ascii="宋体" w:hAnsi="宋体" w:cs="宋体"/>
          <w:color w:val="auto"/>
          <w:kern w:val="0"/>
          <w:highlight w:val="none"/>
        </w:rPr>
      </w:pPr>
      <w:r>
        <w:rPr>
          <w:rFonts w:hint="eastAsia" w:ascii="宋体" w:hAnsi="宋体" w:cs="宋体"/>
          <w:color w:val="auto"/>
          <w:kern w:val="0"/>
          <w:highlight w:val="none"/>
        </w:rPr>
        <w:t>3.6.1响应文件报价出现前后不一致的，按照下列规定修正：</w:t>
      </w:r>
    </w:p>
    <w:p>
      <w:pPr>
        <w:pStyle w:val="131"/>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3.6.1.1响应文件中已标价工程量清单内容与响应文件中相应内容不一致的，以已标价工程量清单为准;</w:t>
      </w:r>
    </w:p>
    <w:p>
      <w:pPr>
        <w:pStyle w:val="131"/>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3.6.1.2大写金额和小写金额不一致的，以大写金额为准;</w:t>
      </w:r>
    </w:p>
    <w:p>
      <w:pPr>
        <w:pStyle w:val="131"/>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3.6.1.3单价金额小数点或者百分比有明显错位的，以已标价工程量清单的总价为准，并修改单价;</w:t>
      </w:r>
    </w:p>
    <w:p>
      <w:pPr>
        <w:pStyle w:val="131"/>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3.6.1.4总价金额与按单价汇总金额不一致的，以单价金额计算结果为准。</w:t>
      </w:r>
    </w:p>
    <w:p>
      <w:pPr>
        <w:pStyle w:val="131"/>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3.6.1.5同时出现两种以上不一致的，按照3.6.1规定的顺序修正。修正后的报价经供应商确认后产生约束力。</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3.6.2响应文件出现不是唯一的、有选择性最后报价的，响应文件无效。</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3.6.3最后报价超过采购文件中规定的预算金额或者最高限价的，响应文件无效。</w:t>
      </w:r>
    </w:p>
    <w:p>
      <w:pPr>
        <w:pStyle w:val="131"/>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3.6.4对于未预留份额专门面向中小企业的政府采购工程项目，以及预留份额政府采购工程项目中的非预留部分标项，对小型和微型企业的最后报价给予5%的扣除，用扣除后的价格参与评审。接受大中型企业与小微企业组成联合体或者允许大中型企业向一家或者多家小微企业分包的政府采购工程项目，对于联合协议或者分包意向协议约定小微企业的合同份额占到合同总金额30%以上的，对联合体或者大中型企业的报价给予2%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b/>
          <w:color w:val="auto"/>
          <w:kern w:val="0"/>
          <w:sz w:val="24"/>
          <w:highlight w:val="none"/>
        </w:rPr>
      </w:pPr>
      <w:r>
        <w:rPr>
          <w:rFonts w:hint="eastAsia" w:ascii="宋体" w:hAnsi="宋体" w:cs="宋体"/>
          <w:b/>
          <w:color w:val="auto"/>
          <w:kern w:val="0"/>
          <w:sz w:val="24"/>
          <w:highlight w:val="none"/>
        </w:rPr>
        <w:t>3.7排序与推荐。</w:t>
      </w:r>
      <w:r>
        <w:rPr>
          <w:rFonts w:hint="eastAsia" w:ascii="宋体" w:hAnsi="宋体" w:cs="宋体"/>
          <w:color w:val="auto"/>
          <w:kern w:val="0"/>
          <w:sz w:val="24"/>
          <w:highlight w:val="none"/>
        </w:rPr>
        <w:t>评审结果按评审后得分由高到低顺序排列。得分相同的，按最后报价由低到高顺序排列。得分且最后报价相同的并列。响应文件满足采购文件全部实质性要求，且按照评审因素的量化指标评审得分由高到低顺序推荐3名以上成交候选供应商</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3.8编写评审报告。</w:t>
      </w:r>
      <w:r>
        <w:rPr>
          <w:rFonts w:hint="eastAsia" w:ascii="宋体" w:hAnsi="宋体" w:cs="宋体"/>
          <w:color w:val="auto"/>
          <w:kern w:val="0"/>
          <w:sz w:val="24"/>
          <w:highlight w:val="none"/>
        </w:rPr>
        <w:t>磋商小组根据全体评审成员签字的原始评审记录和评审结果编写评审报告。磋商小组成员对需要共同认定的事项存在争议的，应当按照少数服从多数的原则作出结论。持不同意见的磋商小组成员应当在评审报告上签署不同意见及理由，否则视为同意评审报告。</w:t>
      </w:r>
    </w:p>
    <w:p>
      <w:pPr>
        <w:snapToGrid w:val="0"/>
        <w:spacing w:line="360" w:lineRule="auto"/>
        <w:jc w:val="center"/>
        <w:rPr>
          <w:rFonts w:ascii="宋体" w:hAnsi="宋体" w:cs="宋体"/>
          <w:b/>
          <w:color w:val="auto"/>
          <w:sz w:val="32"/>
          <w:highlight w:val="none"/>
        </w:rPr>
      </w:pPr>
      <w:r>
        <w:rPr>
          <w:rFonts w:hint="eastAsia" w:ascii="宋体" w:hAnsi="宋体" w:cs="宋体"/>
          <w:b/>
          <w:color w:val="auto"/>
          <w:sz w:val="32"/>
          <w:highlight w:val="none"/>
        </w:rPr>
        <w:t>四、评审中的其他事项</w:t>
      </w:r>
    </w:p>
    <w:p>
      <w:pPr>
        <w:pStyle w:val="131"/>
        <w:spacing w:before="0"/>
        <w:ind w:firstLine="472" w:firstLineChars="196"/>
        <w:rPr>
          <w:rFonts w:ascii="宋体" w:hAnsi="宋体" w:cs="宋体"/>
          <w:color w:val="auto"/>
          <w:kern w:val="0"/>
          <w:szCs w:val="24"/>
          <w:highlight w:val="none"/>
        </w:rPr>
      </w:pPr>
      <w:r>
        <w:rPr>
          <w:rFonts w:hint="eastAsia" w:ascii="宋体" w:hAnsi="宋体" w:cs="宋体"/>
          <w:b/>
          <w:color w:val="auto"/>
          <w:kern w:val="0"/>
          <w:szCs w:val="24"/>
          <w:highlight w:val="none"/>
        </w:rPr>
        <w:t>4.1供应商澄清、说明或者补正。</w:t>
      </w:r>
      <w:r>
        <w:rPr>
          <w:rFonts w:hint="eastAsia" w:ascii="宋体" w:hAnsi="宋体" w:cs="宋体"/>
          <w:color w:val="auto"/>
          <w:kern w:val="0"/>
          <w:szCs w:val="24"/>
          <w:highlight w:val="none"/>
        </w:rPr>
        <w:t>对于响应文件中含义不明确、同类问题表述不一致或者有明显文字和计算错误的内容需要供应商作出必要的澄清、说明或者补正的，磋商小组和供应商通过电子交易平台交换数据电文，供应商提交使用电子签名的相关数据电文或通过平台上传加盖公章的扫描件。给予供应商提交澄清、说明或补正的时间不得少于半小时，供应商已经明确表示澄清说明或补正完毕的除外。供应商的澄清、说明或者补正不得超出响应文件的范围或者改变响应文件的实质性内容。</w:t>
      </w:r>
    </w:p>
    <w:p>
      <w:pPr>
        <w:pStyle w:val="26"/>
        <w:spacing w:line="360" w:lineRule="auto"/>
        <w:ind w:left="954" w:leftChars="226" w:hanging="479" w:firstLineChars="0"/>
        <w:rPr>
          <w:rFonts w:cs="宋体"/>
          <w:color w:val="auto"/>
          <w:szCs w:val="21"/>
          <w:highlight w:val="none"/>
        </w:rPr>
      </w:pPr>
      <w:r>
        <w:rPr>
          <w:rFonts w:hint="eastAsia" w:cs="宋体"/>
          <w:b/>
          <w:color w:val="auto"/>
          <w:kern w:val="0"/>
          <w:highlight w:val="none"/>
        </w:rPr>
        <w:t>4.2响应文件无效。</w:t>
      </w:r>
      <w:r>
        <w:rPr>
          <w:rFonts w:hint="eastAsia" w:cs="宋体"/>
          <w:color w:val="auto"/>
          <w:szCs w:val="21"/>
          <w:highlight w:val="none"/>
        </w:rPr>
        <w:t>有下列情形之一的，响应文件无效：</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4.2.1供应商不具备采购文件中规定的资格要求的（供应商未提供有效的资格文件的，视为供应商不具备采购文件中规定的资格要求）；</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4.2.2响应文件未按照采购文件要求签署、盖章的；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4.2.3采购人拟采购的产品属于政府强制采购的节能产品品目清单范围的，供应商未按采购文件要求提供国家确定的认证机构出具的、处于有效期之内的节能产品认证证书的；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4.2.4响应文件含有采购人不能接受的附加条件的；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4.2.5响应文件中承诺的响应文件有效期少于采购文件中载明的响应文件有效期的；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4.2.6响应文件出现不是唯一的、有选择性最后报价的;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4.2.7最后报价超过采购文件中规定的预算金额或者最高限价的;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4.2.8报价明显低于其他通过符合性审查供应商的报价，有可能影响产品质量或者不能诚信履约的，未能按要求提供书面说明或者提交相关证明材料，不能证明其报价合理性的;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4.2.9供应商对根据修正原则修正后的报价不确认的；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4.2.10供应商提供虚假材料响应的；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4.2.11供应商有恶意串通、妨碍其他供应商的竞争行为、损害采购人或者其他供应商的合法权益情形的；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4.2.12供应商仅提交备份响应文件，未在电子交易平台传输递交响应文件的，响应文件无效；</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4.2.13 响应文件不满足采购文件的其它实质性要求的；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4.2.14法律、法规、规章（适用本市的）及省级以上规范性文件（适用本市的）规定的其他无效情形。</w:t>
      </w:r>
    </w:p>
    <w:p>
      <w:pPr>
        <w:pStyle w:val="26"/>
        <w:snapToGrid w:val="0"/>
        <w:spacing w:line="360" w:lineRule="auto"/>
        <w:ind w:firstLine="472" w:firstLineChars="196"/>
        <w:rPr>
          <w:rFonts w:cs="宋体"/>
          <w:color w:val="auto"/>
          <w:highlight w:val="none"/>
        </w:rPr>
      </w:pPr>
      <w:r>
        <w:rPr>
          <w:rFonts w:hint="eastAsia" w:cs="宋体"/>
          <w:b/>
          <w:color w:val="auto"/>
          <w:highlight w:val="none"/>
        </w:rPr>
        <w:t>5.终止竞争性磋商采购活动。</w:t>
      </w:r>
      <w:r>
        <w:rPr>
          <w:rFonts w:hint="eastAsia" w:cs="宋体"/>
          <w:color w:val="auto"/>
          <w:highlight w:val="none"/>
        </w:rPr>
        <w:t>出现下列情形之一的，采购人或者采购代理机构应当终止竞争性磋商采购活动，发布项目终止公告并说明原因，重新开展采购活动：</w:t>
      </w:r>
    </w:p>
    <w:p>
      <w:pPr>
        <w:pStyle w:val="26"/>
        <w:snapToGrid w:val="0"/>
        <w:spacing w:line="360" w:lineRule="auto"/>
        <w:rPr>
          <w:rFonts w:cs="宋体"/>
          <w:color w:val="auto"/>
          <w:highlight w:val="none"/>
        </w:rPr>
      </w:pPr>
      <w:r>
        <w:rPr>
          <w:rFonts w:hint="eastAsia" w:cs="宋体"/>
          <w:color w:val="auto"/>
          <w:highlight w:val="none"/>
        </w:rPr>
        <w:t>5.1因情况变化，不再符合规定的竞争性磋商采购方式适用情形的；</w:t>
      </w:r>
    </w:p>
    <w:p>
      <w:pPr>
        <w:pStyle w:val="26"/>
        <w:snapToGrid w:val="0"/>
        <w:spacing w:line="360" w:lineRule="auto"/>
        <w:rPr>
          <w:rFonts w:cs="宋体"/>
          <w:color w:val="auto"/>
          <w:highlight w:val="none"/>
        </w:rPr>
      </w:pPr>
      <w:r>
        <w:rPr>
          <w:rFonts w:hint="eastAsia" w:cs="宋体"/>
          <w:color w:val="auto"/>
          <w:highlight w:val="none"/>
        </w:rPr>
        <w:t>5.2出现影响采购公正的违法、违规行为的；</w:t>
      </w:r>
    </w:p>
    <w:p>
      <w:pPr>
        <w:pStyle w:val="26"/>
        <w:snapToGrid w:val="0"/>
        <w:spacing w:line="360" w:lineRule="auto"/>
        <w:rPr>
          <w:rFonts w:cs="宋体"/>
          <w:color w:val="auto"/>
          <w:highlight w:val="none"/>
        </w:rPr>
      </w:pPr>
      <w:r>
        <w:rPr>
          <w:rFonts w:hint="eastAsia" w:cs="宋体"/>
          <w:color w:val="auto"/>
          <w:highlight w:val="none"/>
        </w:rPr>
        <w:t>5.3除本办法第二十一条第三款规定的情形外，在采购过程中符合要求的供应商或者报价未超过采购预算的供应商不足3家的。</w:t>
      </w:r>
    </w:p>
    <w:p>
      <w:pPr>
        <w:pStyle w:val="26"/>
        <w:snapToGrid w:val="0"/>
        <w:spacing w:line="360" w:lineRule="auto"/>
        <w:rPr>
          <w:rFonts w:cs="宋体"/>
          <w:color w:val="auto"/>
          <w:highlight w:val="none"/>
        </w:rPr>
      </w:pPr>
      <w:r>
        <w:rPr>
          <w:rFonts w:hint="eastAsia" w:cs="宋体"/>
          <w:color w:val="auto"/>
          <w:highlight w:val="none"/>
        </w:rPr>
        <w:t>5.4在采购活动中因重大变故，采购任务取消的，采购人或者采购代理机构应当终止采购活动，通知所有参加采购活动的供应商，并将项目实施情况和采购任务取消原因报送本级财政部门。</w:t>
      </w:r>
    </w:p>
    <w:p>
      <w:pPr>
        <w:pStyle w:val="26"/>
        <w:snapToGrid w:val="0"/>
        <w:spacing w:line="360" w:lineRule="auto"/>
        <w:ind w:firstLine="482"/>
        <w:rPr>
          <w:rFonts w:cs="宋体"/>
          <w:color w:val="auto"/>
          <w:highlight w:val="none"/>
        </w:rPr>
      </w:pPr>
      <w:r>
        <w:rPr>
          <w:rFonts w:hint="eastAsia" w:cs="宋体"/>
          <w:b/>
          <w:color w:val="auto"/>
          <w:kern w:val="0"/>
          <w:highlight w:val="none"/>
        </w:rPr>
        <w:t>6.重新开展采购。</w:t>
      </w:r>
      <w:r>
        <w:rPr>
          <w:rFonts w:hint="eastAsia" w:cs="宋体"/>
          <w:color w:val="auto"/>
          <w:highlight w:val="none"/>
        </w:rPr>
        <w:t>有政府采购法第七十一条、第七十二条规定的违法行为之一，影响或者可能影响成交结果的，依照下列规定处理：</w:t>
      </w:r>
    </w:p>
    <w:p>
      <w:pPr>
        <w:pStyle w:val="26"/>
        <w:snapToGrid w:val="0"/>
        <w:spacing w:line="360" w:lineRule="auto"/>
        <w:rPr>
          <w:rFonts w:cs="宋体"/>
          <w:color w:val="auto"/>
          <w:highlight w:val="none"/>
        </w:rPr>
      </w:pPr>
      <w:r>
        <w:rPr>
          <w:rFonts w:hint="eastAsia" w:cs="宋体"/>
          <w:color w:val="auto"/>
          <w:highlight w:val="none"/>
        </w:rPr>
        <w:t>6.1未确定成交供应商的，终止本次政府采购活动，重新开展政府采购活动。</w:t>
      </w:r>
    </w:p>
    <w:p>
      <w:pPr>
        <w:pStyle w:val="26"/>
        <w:snapToGrid w:val="0"/>
        <w:spacing w:line="360" w:lineRule="auto"/>
        <w:rPr>
          <w:rFonts w:cs="宋体"/>
          <w:color w:val="auto"/>
          <w:highlight w:val="none"/>
        </w:rPr>
      </w:pPr>
      <w:r>
        <w:rPr>
          <w:rFonts w:hint="eastAsia" w:cs="宋体"/>
          <w:color w:val="auto"/>
          <w:highlight w:val="none"/>
        </w:rPr>
        <w:t>6.2已确定成交供应商但尚未签订政府采购合同的，成交结果无效，从合格的成交候选供应商中另行确定成交供应商；没有合格的成交候选供应商的，重新开展政府采购活动。</w:t>
      </w:r>
    </w:p>
    <w:p>
      <w:pPr>
        <w:pStyle w:val="26"/>
        <w:snapToGrid w:val="0"/>
        <w:spacing w:line="360" w:lineRule="auto"/>
        <w:rPr>
          <w:rFonts w:cs="宋体"/>
          <w:color w:val="auto"/>
          <w:highlight w:val="none"/>
        </w:rPr>
      </w:pPr>
      <w:r>
        <w:rPr>
          <w:rFonts w:hint="eastAsia" w:cs="宋体"/>
          <w:color w:val="auto"/>
          <w:highlight w:val="none"/>
        </w:rPr>
        <w:t>6.3政府采购合同已签订但尚未履行的，撤销合同，从合格的成交候选供应商中另行确定成交供应商；没有合格的成交候选供应商的，重新开展政府采购活动。</w:t>
      </w:r>
    </w:p>
    <w:p>
      <w:pPr>
        <w:pStyle w:val="26"/>
        <w:snapToGrid w:val="0"/>
        <w:spacing w:line="360" w:lineRule="auto"/>
        <w:rPr>
          <w:rFonts w:cs="宋体"/>
          <w:color w:val="auto"/>
          <w:highlight w:val="none"/>
        </w:rPr>
      </w:pPr>
      <w:r>
        <w:rPr>
          <w:rFonts w:hint="eastAsia" w:cs="宋体"/>
          <w:color w:val="auto"/>
          <w:highlight w:val="none"/>
        </w:rPr>
        <w:t>6.4政府采购合同已经履行，给采购人、供应商造成损失的，由责任人承担赔偿责任。</w:t>
      </w:r>
    </w:p>
    <w:p>
      <w:pPr>
        <w:pStyle w:val="26"/>
        <w:snapToGrid w:val="0"/>
        <w:spacing w:line="360" w:lineRule="auto"/>
        <w:rPr>
          <w:rFonts w:cs="宋体"/>
          <w:color w:val="auto"/>
          <w:highlight w:val="none"/>
        </w:rPr>
      </w:pPr>
      <w:r>
        <w:rPr>
          <w:rFonts w:hint="eastAsia" w:cs="宋体"/>
          <w:color w:val="auto"/>
          <w:highlight w:val="none"/>
        </w:rPr>
        <w:t>6.5政府采购当事人有其他违反政府采购法或者政府采购法实施条例等法律法规规定的行为，经改正后仍然影响或者可能影响成交结果或者依法被认定为成交无效的，依照6.1-6.4规定处理。</w:t>
      </w:r>
    </w:p>
    <w:p>
      <w:pPr>
        <w:pStyle w:val="26"/>
        <w:snapToGrid w:val="0"/>
        <w:spacing w:line="360" w:lineRule="auto"/>
        <w:ind w:firstLine="0" w:firstLineChars="0"/>
        <w:rPr>
          <w:rFonts w:cs="宋体"/>
          <w:color w:val="auto"/>
          <w:highlight w:val="none"/>
        </w:rPr>
        <w:sectPr>
          <w:pgSz w:w="11907" w:h="16840"/>
          <w:pgMar w:top="1440" w:right="1080" w:bottom="1440" w:left="1080" w:header="851" w:footer="851" w:gutter="0"/>
          <w:cols w:space="720" w:num="1"/>
        </w:sectPr>
      </w:pPr>
    </w:p>
    <w:bookmarkEnd w:id="32"/>
    <w:p>
      <w:pPr>
        <w:spacing w:line="360" w:lineRule="auto"/>
        <w:jc w:val="center"/>
        <w:outlineLvl w:val="0"/>
        <w:rPr>
          <w:rFonts w:ascii="宋体" w:hAnsi="宋体" w:cs="宋体"/>
          <w:b/>
          <w:color w:val="auto"/>
          <w:sz w:val="36"/>
          <w:szCs w:val="36"/>
          <w:highlight w:val="none"/>
        </w:rPr>
      </w:pPr>
      <w:bookmarkStart w:id="398" w:name="第五部分"/>
      <w:bookmarkStart w:id="399" w:name="_Toc86217003"/>
      <w:r>
        <w:rPr>
          <w:rFonts w:hint="eastAsia" w:ascii="宋体" w:hAnsi="宋体" w:cs="宋体"/>
          <w:b/>
          <w:color w:val="auto"/>
          <w:sz w:val="36"/>
          <w:szCs w:val="36"/>
          <w:highlight w:val="none"/>
        </w:rPr>
        <w:t>第五部分 拟签订的合同文本</w:t>
      </w:r>
    </w:p>
    <w:p>
      <w:pPr>
        <w:snapToGrid w:val="0"/>
        <w:spacing w:line="360" w:lineRule="auto"/>
        <w:ind w:firstLine="480" w:firstLineChars="200"/>
        <w:rPr>
          <w:rFonts w:ascii="宋体" w:hAnsi="宋体" w:cs="宋体"/>
          <w:color w:val="auto"/>
          <w:sz w:val="24"/>
          <w:highlight w:val="none"/>
        </w:rPr>
      </w:pP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发包人（全称）：</w:t>
      </w:r>
      <w:r>
        <w:rPr>
          <w:rFonts w:hint="eastAsia" w:ascii="仿宋" w:hAnsi="仿宋" w:eastAsia="仿宋" w:cs="仿宋"/>
          <w:color w:val="auto"/>
          <w:sz w:val="24"/>
          <w:highlight w:val="none"/>
          <w:u w:val="single"/>
        </w:rPr>
        <w:t xml:space="preserve">杭州市第七人民医院 </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承包人（全称）：</w:t>
      </w:r>
      <w:r>
        <w:rPr>
          <w:rFonts w:hint="eastAsia" w:ascii="仿宋" w:hAnsi="仿宋" w:eastAsia="仿宋" w:cs="仿宋"/>
          <w:color w:val="auto"/>
          <w:sz w:val="24"/>
          <w:highlight w:val="none"/>
          <w:u w:val="single"/>
        </w:rPr>
        <w:t xml:space="preserve">                 </w:t>
      </w:r>
    </w:p>
    <w:p>
      <w:pPr>
        <w:pStyle w:val="26"/>
        <w:snapToGrid w:val="0"/>
        <w:ind w:left="560"/>
        <w:rPr>
          <w:rFonts w:ascii="仿宋" w:hAnsi="仿宋" w:eastAsia="仿宋" w:cs="仿宋"/>
          <w:color w:val="auto"/>
          <w:highlight w:val="none"/>
        </w:rPr>
      </w:pPr>
      <w:r>
        <w:rPr>
          <w:rFonts w:hint="eastAsia" w:ascii="仿宋" w:hAnsi="仿宋" w:eastAsia="仿宋" w:cs="仿宋"/>
          <w:color w:val="auto"/>
          <w:highlight w:val="none"/>
        </w:rPr>
        <w:t>依照《中华人民共和国民法典》、《中华人民共和国建筑法》及其他有关法律、行政法规，遵循平等、自愿、公平和诚实信用的原则，双方就</w:t>
      </w:r>
      <w:r>
        <w:rPr>
          <w:rFonts w:hint="eastAsia" w:ascii="仿宋" w:hAnsi="仿宋" w:eastAsia="仿宋" w:cs="仿宋"/>
          <w:color w:val="auto"/>
          <w:highlight w:val="none"/>
          <w:u w:val="single"/>
        </w:rPr>
        <w:t xml:space="preserve"> 杭州市第七人民医院老年一科病区改造工程 </w:t>
      </w:r>
      <w:r>
        <w:rPr>
          <w:rFonts w:hint="eastAsia" w:ascii="仿宋" w:hAnsi="仿宋" w:eastAsia="仿宋" w:cs="仿宋"/>
          <w:color w:val="auto"/>
          <w:highlight w:val="none"/>
        </w:rPr>
        <w:t>施工事项协商一致，共同达成如下协议：</w:t>
      </w:r>
    </w:p>
    <w:p>
      <w:pPr>
        <w:snapToGrid w:val="0"/>
        <w:spacing w:line="360" w:lineRule="auto"/>
        <w:ind w:firstLine="570"/>
        <w:rPr>
          <w:rFonts w:ascii="仿宋" w:hAnsi="仿宋" w:eastAsia="仿宋" w:cs="仿宋"/>
          <w:color w:val="auto"/>
          <w:sz w:val="24"/>
          <w:highlight w:val="none"/>
        </w:rPr>
      </w:pPr>
      <w:r>
        <w:rPr>
          <w:rFonts w:hint="eastAsia" w:ascii="仿宋" w:hAnsi="仿宋" w:eastAsia="仿宋" w:cs="仿宋"/>
          <w:color w:val="auto"/>
          <w:sz w:val="24"/>
          <w:highlight w:val="none"/>
        </w:rPr>
        <w:t>一、工程概况</w:t>
      </w:r>
    </w:p>
    <w:p>
      <w:pPr>
        <w:snapToGrid w:val="0"/>
        <w:spacing w:line="360" w:lineRule="auto"/>
        <w:ind w:firstLine="720" w:firstLineChars="300"/>
        <w:rPr>
          <w:rFonts w:ascii="仿宋" w:hAnsi="仿宋" w:eastAsia="仿宋" w:cs="仿宋"/>
          <w:color w:val="auto"/>
          <w:w w:val="80"/>
          <w:sz w:val="24"/>
          <w:highlight w:val="none"/>
          <w:u w:val="single"/>
          <w:lang w:bidi="th-TH"/>
        </w:rPr>
      </w:pPr>
      <w:r>
        <w:rPr>
          <w:rFonts w:hint="eastAsia" w:ascii="仿宋" w:hAnsi="仿宋" w:eastAsia="仿宋" w:cs="仿宋"/>
          <w:color w:val="auto"/>
          <w:sz w:val="24"/>
          <w:highlight w:val="none"/>
        </w:rPr>
        <w:t>1. 工程名称：</w:t>
      </w:r>
      <w:r>
        <w:rPr>
          <w:rFonts w:hint="eastAsia" w:ascii="仿宋" w:hAnsi="仿宋" w:eastAsia="仿宋" w:cs="仿宋"/>
          <w:color w:val="auto"/>
          <w:w w:val="80"/>
          <w:sz w:val="24"/>
          <w:highlight w:val="none"/>
          <w:u w:val="single"/>
          <w:lang w:bidi="th-TH"/>
        </w:rPr>
        <w:t xml:space="preserve">                                            </w:t>
      </w:r>
      <w:r>
        <w:rPr>
          <w:rFonts w:hint="eastAsia" w:ascii="仿宋" w:hAnsi="仿宋" w:eastAsia="仿宋" w:cs="仿宋"/>
          <w:color w:val="auto"/>
          <w:w w:val="80"/>
          <w:sz w:val="24"/>
          <w:highlight w:val="none"/>
          <w:lang w:bidi="th-TH"/>
        </w:rPr>
        <w:t>。</w:t>
      </w:r>
    </w:p>
    <w:p>
      <w:pPr>
        <w:snapToGrid w:val="0"/>
        <w:spacing w:line="360" w:lineRule="auto"/>
        <w:ind w:firstLine="570"/>
        <w:rPr>
          <w:rFonts w:ascii="仿宋" w:hAnsi="仿宋" w:eastAsia="仿宋" w:cs="仿宋"/>
          <w:color w:val="auto"/>
          <w:sz w:val="24"/>
          <w:highlight w:val="none"/>
        </w:rPr>
      </w:pPr>
      <w:r>
        <w:rPr>
          <w:rFonts w:hint="eastAsia" w:ascii="仿宋" w:hAnsi="仿宋" w:eastAsia="仿宋" w:cs="仿宋"/>
          <w:color w:val="auto"/>
          <w:sz w:val="24"/>
          <w:highlight w:val="none"/>
        </w:rPr>
        <w:t>2. 工程地点：</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napToGrid w:val="0"/>
        <w:spacing w:line="360" w:lineRule="auto"/>
        <w:ind w:firstLine="570"/>
        <w:rPr>
          <w:rFonts w:ascii="仿宋" w:hAnsi="仿宋" w:eastAsia="仿宋" w:cs="仿宋"/>
          <w:color w:val="auto"/>
          <w:sz w:val="24"/>
          <w:highlight w:val="none"/>
        </w:rPr>
      </w:pPr>
      <w:r>
        <w:rPr>
          <w:rFonts w:hint="eastAsia" w:ascii="仿宋" w:hAnsi="仿宋" w:eastAsia="仿宋" w:cs="仿宋"/>
          <w:color w:val="auto"/>
          <w:sz w:val="24"/>
          <w:highlight w:val="none"/>
        </w:rPr>
        <w:t>3. 工程立项批准文号：</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rPr>
        <w:t>。</w:t>
      </w:r>
    </w:p>
    <w:p>
      <w:pPr>
        <w:snapToGrid w:val="0"/>
        <w:spacing w:line="360" w:lineRule="auto"/>
        <w:ind w:firstLine="570"/>
        <w:rPr>
          <w:rFonts w:ascii="仿宋" w:hAnsi="仿宋" w:eastAsia="仿宋" w:cs="仿宋"/>
          <w:color w:val="auto"/>
          <w:sz w:val="24"/>
          <w:highlight w:val="none"/>
        </w:rPr>
      </w:pPr>
      <w:r>
        <w:rPr>
          <w:rFonts w:hint="eastAsia" w:ascii="仿宋" w:hAnsi="仿宋" w:eastAsia="仿宋" w:cs="仿宋"/>
          <w:color w:val="auto"/>
          <w:sz w:val="24"/>
          <w:highlight w:val="none"/>
        </w:rPr>
        <w:t>4、资金来源：</w:t>
      </w:r>
      <w:r>
        <w:rPr>
          <w:rFonts w:hint="eastAsia" w:ascii="仿宋" w:hAnsi="仿宋" w:eastAsia="仿宋" w:cs="仿宋"/>
          <w:color w:val="auto"/>
          <w:sz w:val="24"/>
          <w:highlight w:val="none"/>
          <w:u w:val="single"/>
        </w:rPr>
        <w:t xml:space="preserve">    自筹              </w:t>
      </w:r>
      <w:r>
        <w:rPr>
          <w:rFonts w:hint="eastAsia" w:ascii="仿宋" w:hAnsi="仿宋" w:eastAsia="仿宋" w:cs="仿宋"/>
          <w:color w:val="auto"/>
          <w:sz w:val="24"/>
          <w:highlight w:val="none"/>
        </w:rPr>
        <w:t>。</w:t>
      </w:r>
    </w:p>
    <w:p>
      <w:pPr>
        <w:snapToGrid w:val="0"/>
        <w:spacing w:line="360" w:lineRule="auto"/>
        <w:ind w:firstLine="570"/>
        <w:rPr>
          <w:rFonts w:ascii="仿宋" w:hAnsi="仿宋" w:eastAsia="仿宋" w:cs="仿宋"/>
          <w:color w:val="auto"/>
          <w:sz w:val="24"/>
          <w:highlight w:val="none"/>
        </w:rPr>
      </w:pPr>
      <w:r>
        <w:rPr>
          <w:rFonts w:hint="eastAsia" w:ascii="仿宋" w:hAnsi="仿宋" w:eastAsia="仿宋" w:cs="仿宋"/>
          <w:color w:val="auto"/>
          <w:sz w:val="24"/>
          <w:highlight w:val="none"/>
        </w:rPr>
        <w:t>5. 工程内容：</w:t>
      </w:r>
      <w:r>
        <w:rPr>
          <w:rFonts w:hint="eastAsia" w:ascii="仿宋" w:hAnsi="仿宋" w:eastAsia="仿宋" w:cs="仿宋"/>
          <w:color w:val="auto"/>
          <w:sz w:val="24"/>
          <w:highlight w:val="none"/>
          <w:u w:val="single"/>
        </w:rPr>
        <w:t>本工程为杭州市第七人民医院老年一科病区改造工程</w:t>
      </w:r>
      <w:r>
        <w:rPr>
          <w:rFonts w:hint="eastAsia" w:ascii="仿宋" w:hAnsi="仿宋" w:eastAsia="仿宋" w:cs="仿宋"/>
          <w:color w:val="auto"/>
          <w:sz w:val="24"/>
          <w:highlight w:val="none"/>
        </w:rPr>
        <w:t>。</w:t>
      </w:r>
    </w:p>
    <w:p>
      <w:pPr>
        <w:snapToGrid w:val="0"/>
        <w:spacing w:line="360" w:lineRule="auto"/>
        <w:ind w:firstLine="570"/>
        <w:rPr>
          <w:rFonts w:ascii="仿宋" w:hAnsi="仿宋" w:eastAsia="仿宋" w:cs="仿宋"/>
          <w:color w:val="auto"/>
          <w:sz w:val="24"/>
          <w:highlight w:val="none"/>
          <w:u w:val="single"/>
        </w:rPr>
      </w:pPr>
      <w:r>
        <w:rPr>
          <w:rFonts w:hint="eastAsia" w:ascii="仿宋" w:hAnsi="仿宋" w:eastAsia="仿宋" w:cs="仿宋"/>
          <w:color w:val="auto"/>
          <w:sz w:val="24"/>
          <w:highlight w:val="none"/>
        </w:rPr>
        <w:t>6. 工程承包范围：设计图纸及工程量清单范围内所有内容、设计变更增加以及其他发包人明确指令要求完成的工作量。</w:t>
      </w:r>
    </w:p>
    <w:p>
      <w:pPr>
        <w:snapToGrid w:val="0"/>
        <w:spacing w:line="360" w:lineRule="auto"/>
        <w:ind w:firstLine="570"/>
        <w:rPr>
          <w:rFonts w:ascii="仿宋" w:hAnsi="仿宋" w:eastAsia="仿宋" w:cs="仿宋"/>
          <w:color w:val="auto"/>
          <w:sz w:val="24"/>
          <w:highlight w:val="none"/>
        </w:rPr>
      </w:pPr>
      <w:r>
        <w:rPr>
          <w:rFonts w:hint="eastAsia" w:ascii="仿宋" w:hAnsi="仿宋" w:eastAsia="仿宋" w:cs="仿宋"/>
          <w:color w:val="auto"/>
          <w:sz w:val="24"/>
          <w:highlight w:val="none"/>
        </w:rPr>
        <w:t>二、合同工期</w:t>
      </w:r>
    </w:p>
    <w:p>
      <w:pPr>
        <w:snapToGrid w:val="0"/>
        <w:spacing w:line="360" w:lineRule="auto"/>
        <w:ind w:firstLine="570"/>
        <w:rPr>
          <w:rFonts w:ascii="仿宋" w:hAnsi="仿宋" w:eastAsia="仿宋" w:cs="仿宋"/>
          <w:color w:val="auto"/>
          <w:sz w:val="24"/>
          <w:highlight w:val="none"/>
        </w:rPr>
      </w:pPr>
      <w:r>
        <w:rPr>
          <w:rFonts w:hint="eastAsia" w:ascii="仿宋" w:hAnsi="仿宋" w:eastAsia="仿宋" w:cs="仿宋"/>
          <w:color w:val="auto"/>
          <w:sz w:val="24"/>
          <w:highlight w:val="none"/>
        </w:rPr>
        <w:t>计划开工日期：</w:t>
      </w:r>
      <w:r>
        <w:rPr>
          <w:rFonts w:hint="eastAsia" w:ascii="仿宋" w:hAnsi="仿宋" w:eastAsia="仿宋" w:cs="仿宋"/>
          <w:color w:val="auto"/>
          <w:sz w:val="24"/>
          <w:highlight w:val="none"/>
          <w:u w:val="single"/>
        </w:rPr>
        <w:t xml:space="preserve">      年   月  日</w:t>
      </w:r>
      <w:r>
        <w:rPr>
          <w:rFonts w:hint="eastAsia" w:ascii="仿宋" w:hAnsi="仿宋" w:eastAsia="仿宋" w:cs="仿宋"/>
          <w:color w:val="auto"/>
          <w:sz w:val="24"/>
          <w:highlight w:val="none"/>
        </w:rPr>
        <w:t>。</w:t>
      </w:r>
    </w:p>
    <w:p>
      <w:pPr>
        <w:snapToGrid w:val="0"/>
        <w:spacing w:line="360" w:lineRule="auto"/>
        <w:ind w:firstLine="570"/>
        <w:rPr>
          <w:rFonts w:ascii="仿宋" w:hAnsi="仿宋" w:eastAsia="仿宋" w:cs="仿宋"/>
          <w:color w:val="auto"/>
          <w:sz w:val="24"/>
          <w:highlight w:val="none"/>
          <w:u w:val="single"/>
        </w:rPr>
      </w:pPr>
      <w:r>
        <w:rPr>
          <w:rFonts w:hint="eastAsia" w:ascii="仿宋" w:hAnsi="仿宋" w:eastAsia="仿宋" w:cs="仿宋"/>
          <w:color w:val="auto"/>
          <w:sz w:val="24"/>
          <w:highlight w:val="none"/>
        </w:rPr>
        <w:t>计划竣工日期：</w:t>
      </w:r>
      <w:r>
        <w:rPr>
          <w:rFonts w:hint="eastAsia" w:ascii="仿宋" w:hAnsi="仿宋" w:eastAsia="仿宋" w:cs="仿宋"/>
          <w:color w:val="auto"/>
          <w:sz w:val="24"/>
          <w:highlight w:val="none"/>
          <w:u w:val="single"/>
        </w:rPr>
        <w:t xml:space="preserve">      年   月  日</w:t>
      </w:r>
      <w:r>
        <w:rPr>
          <w:rFonts w:hint="eastAsia" w:ascii="仿宋" w:hAnsi="仿宋" w:eastAsia="仿宋" w:cs="仿宋"/>
          <w:color w:val="auto"/>
          <w:sz w:val="24"/>
          <w:highlight w:val="none"/>
        </w:rPr>
        <w:t>。</w:t>
      </w:r>
    </w:p>
    <w:p>
      <w:pPr>
        <w:snapToGrid w:val="0"/>
        <w:spacing w:line="360" w:lineRule="auto"/>
        <w:ind w:firstLine="570"/>
        <w:rPr>
          <w:rFonts w:ascii="仿宋" w:hAnsi="仿宋" w:eastAsia="仿宋" w:cs="仿宋"/>
          <w:color w:val="auto"/>
          <w:sz w:val="24"/>
          <w:highlight w:val="none"/>
        </w:rPr>
      </w:pPr>
      <w:r>
        <w:rPr>
          <w:rFonts w:hint="eastAsia" w:ascii="仿宋" w:hAnsi="仿宋" w:eastAsia="仿宋" w:cs="仿宋"/>
          <w:color w:val="auto"/>
          <w:sz w:val="24"/>
          <w:highlight w:val="none"/>
        </w:rPr>
        <w:t>合同工期总日历天数：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天。工期总日历天数与根据前述计划开竣工日期计算的工期天数不一致的，以工期总日历天数为准。</w:t>
      </w:r>
    </w:p>
    <w:p>
      <w:pPr>
        <w:snapToGrid w:val="0"/>
        <w:spacing w:line="360" w:lineRule="auto"/>
        <w:ind w:firstLine="570"/>
        <w:rPr>
          <w:rFonts w:ascii="仿宋" w:hAnsi="仿宋" w:eastAsia="仿宋" w:cs="仿宋"/>
          <w:color w:val="auto"/>
          <w:sz w:val="24"/>
          <w:highlight w:val="none"/>
        </w:rPr>
      </w:pPr>
      <w:r>
        <w:rPr>
          <w:rFonts w:hint="eastAsia" w:ascii="仿宋" w:hAnsi="仿宋" w:eastAsia="仿宋" w:cs="仿宋"/>
          <w:color w:val="auto"/>
          <w:sz w:val="24"/>
          <w:highlight w:val="none"/>
        </w:rPr>
        <w:t>三、质量标准</w:t>
      </w:r>
    </w:p>
    <w:p>
      <w:pPr>
        <w:snapToGrid w:val="0"/>
        <w:spacing w:line="360" w:lineRule="auto"/>
        <w:ind w:firstLine="570"/>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工程质量符合（工程施工质量验收规范）合格标准。</w:t>
      </w:r>
    </w:p>
    <w:p>
      <w:pPr>
        <w:snapToGrid w:val="0"/>
        <w:spacing w:line="360" w:lineRule="auto"/>
        <w:ind w:firstLine="570"/>
        <w:rPr>
          <w:rFonts w:ascii="仿宋" w:hAnsi="仿宋" w:eastAsia="仿宋" w:cs="仿宋"/>
          <w:color w:val="auto"/>
          <w:sz w:val="24"/>
          <w:highlight w:val="none"/>
        </w:rPr>
      </w:pPr>
      <w:r>
        <w:rPr>
          <w:rFonts w:hint="eastAsia" w:ascii="仿宋" w:hAnsi="仿宋" w:eastAsia="仿宋" w:cs="仿宋"/>
          <w:color w:val="auto"/>
          <w:sz w:val="24"/>
          <w:highlight w:val="none"/>
        </w:rPr>
        <w:t>四、签约合同价与合同价格形式</w:t>
      </w:r>
    </w:p>
    <w:p>
      <w:pPr>
        <w:snapToGrid w:val="0"/>
        <w:spacing w:line="360" w:lineRule="auto"/>
        <w:ind w:firstLine="570"/>
        <w:rPr>
          <w:rFonts w:ascii="仿宋" w:hAnsi="仿宋" w:eastAsia="仿宋" w:cs="仿宋"/>
          <w:color w:val="auto"/>
          <w:sz w:val="24"/>
          <w:highlight w:val="none"/>
        </w:rPr>
      </w:pPr>
      <w:r>
        <w:rPr>
          <w:rFonts w:hint="eastAsia" w:ascii="仿宋" w:hAnsi="仿宋" w:eastAsia="仿宋" w:cs="仿宋"/>
          <w:color w:val="auto"/>
          <w:sz w:val="24"/>
          <w:highlight w:val="none"/>
        </w:rPr>
        <w:t>1.签约合同价为：</w:t>
      </w:r>
    </w:p>
    <w:p>
      <w:pPr>
        <w:snapToGrid w:val="0"/>
        <w:spacing w:line="360" w:lineRule="auto"/>
        <w:ind w:firstLine="570"/>
        <w:rPr>
          <w:rFonts w:ascii="仿宋" w:hAnsi="仿宋" w:eastAsia="仿宋" w:cs="仿宋"/>
          <w:color w:val="auto"/>
          <w:sz w:val="24"/>
          <w:highlight w:val="none"/>
        </w:rPr>
      </w:pPr>
      <w:r>
        <w:rPr>
          <w:rFonts w:hint="eastAsia" w:ascii="仿宋" w:hAnsi="仿宋" w:eastAsia="仿宋" w:cs="仿宋"/>
          <w:color w:val="auto"/>
          <w:sz w:val="24"/>
          <w:highlight w:val="none"/>
        </w:rPr>
        <w:t>人民币（大写）</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元)；</w:t>
      </w:r>
    </w:p>
    <w:p>
      <w:pPr>
        <w:snapToGrid w:val="0"/>
        <w:spacing w:line="360" w:lineRule="auto"/>
        <w:ind w:firstLine="570"/>
        <w:rPr>
          <w:rFonts w:ascii="仿宋" w:hAnsi="仿宋" w:eastAsia="仿宋" w:cs="仿宋"/>
          <w:color w:val="auto"/>
          <w:sz w:val="24"/>
          <w:highlight w:val="none"/>
        </w:rPr>
      </w:pPr>
      <w:r>
        <w:rPr>
          <w:rFonts w:hint="eastAsia" w:ascii="仿宋" w:hAnsi="仿宋" w:eastAsia="仿宋" w:cs="仿宋"/>
          <w:color w:val="auto"/>
          <w:sz w:val="24"/>
          <w:highlight w:val="none"/>
        </w:rPr>
        <w:t>其中：</w:t>
      </w:r>
    </w:p>
    <w:p>
      <w:pPr>
        <w:snapToGrid w:val="0"/>
        <w:spacing w:line="360" w:lineRule="auto"/>
        <w:ind w:firstLine="570"/>
        <w:rPr>
          <w:rFonts w:ascii="仿宋" w:hAnsi="仿宋" w:eastAsia="仿宋" w:cs="仿宋"/>
          <w:color w:val="auto"/>
          <w:sz w:val="24"/>
          <w:highlight w:val="none"/>
        </w:rPr>
      </w:pPr>
      <w:r>
        <w:rPr>
          <w:rFonts w:hint="eastAsia" w:ascii="仿宋" w:hAnsi="仿宋" w:eastAsia="仿宋" w:cs="仿宋"/>
          <w:color w:val="auto"/>
          <w:sz w:val="24"/>
          <w:highlight w:val="none"/>
        </w:rPr>
        <w:t>（1）安全文明施工费：</w:t>
      </w:r>
    </w:p>
    <w:p>
      <w:pPr>
        <w:snapToGrid w:val="0"/>
        <w:spacing w:line="360" w:lineRule="auto"/>
        <w:ind w:firstLine="570"/>
        <w:rPr>
          <w:rFonts w:ascii="仿宋" w:hAnsi="仿宋" w:eastAsia="仿宋" w:cs="仿宋"/>
          <w:color w:val="auto"/>
          <w:sz w:val="24"/>
          <w:highlight w:val="none"/>
        </w:rPr>
      </w:pPr>
      <w:r>
        <w:rPr>
          <w:rFonts w:hint="eastAsia" w:ascii="仿宋" w:hAnsi="仿宋" w:eastAsia="仿宋" w:cs="仿宋"/>
          <w:color w:val="auto"/>
          <w:sz w:val="24"/>
          <w:highlight w:val="none"/>
        </w:rPr>
        <w:t>人民币（大写）</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元)；</w:t>
      </w:r>
    </w:p>
    <w:p>
      <w:pPr>
        <w:snapToGrid w:val="0"/>
        <w:spacing w:line="360" w:lineRule="auto"/>
        <w:ind w:firstLine="570"/>
        <w:rPr>
          <w:rFonts w:ascii="仿宋" w:hAnsi="仿宋" w:eastAsia="仿宋" w:cs="仿宋"/>
          <w:color w:val="auto"/>
          <w:sz w:val="24"/>
          <w:highlight w:val="none"/>
        </w:rPr>
      </w:pPr>
      <w:r>
        <w:rPr>
          <w:rFonts w:hint="eastAsia" w:ascii="仿宋" w:hAnsi="仿宋" w:eastAsia="仿宋" w:cs="仿宋"/>
          <w:color w:val="auto"/>
          <w:sz w:val="24"/>
          <w:highlight w:val="none"/>
        </w:rPr>
        <w:t>（2）材料和工程设备暂估价金额：</w:t>
      </w:r>
    </w:p>
    <w:p>
      <w:pPr>
        <w:snapToGrid w:val="0"/>
        <w:spacing w:line="360" w:lineRule="auto"/>
        <w:ind w:firstLine="570"/>
        <w:rPr>
          <w:rFonts w:ascii="仿宋" w:hAnsi="仿宋" w:eastAsia="仿宋" w:cs="仿宋"/>
          <w:color w:val="auto"/>
          <w:sz w:val="24"/>
          <w:highlight w:val="none"/>
        </w:rPr>
      </w:pPr>
      <w:r>
        <w:rPr>
          <w:rFonts w:hint="eastAsia" w:ascii="仿宋" w:hAnsi="仿宋" w:eastAsia="仿宋" w:cs="仿宋"/>
          <w:color w:val="auto"/>
          <w:sz w:val="24"/>
          <w:highlight w:val="none"/>
        </w:rPr>
        <w:t>人民币（大写）</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元)；</w:t>
      </w:r>
    </w:p>
    <w:p>
      <w:pPr>
        <w:snapToGrid w:val="0"/>
        <w:spacing w:line="360" w:lineRule="auto"/>
        <w:ind w:firstLine="570"/>
        <w:rPr>
          <w:rFonts w:ascii="仿宋" w:hAnsi="仿宋" w:eastAsia="仿宋" w:cs="仿宋"/>
          <w:color w:val="auto"/>
          <w:sz w:val="24"/>
          <w:highlight w:val="none"/>
        </w:rPr>
      </w:pPr>
      <w:r>
        <w:rPr>
          <w:rFonts w:hint="eastAsia" w:ascii="仿宋" w:hAnsi="仿宋" w:eastAsia="仿宋" w:cs="仿宋"/>
          <w:color w:val="auto"/>
          <w:sz w:val="24"/>
          <w:highlight w:val="none"/>
        </w:rPr>
        <w:t>（3）专业工程暂估价金额：</w:t>
      </w:r>
    </w:p>
    <w:p>
      <w:pPr>
        <w:snapToGrid w:val="0"/>
        <w:spacing w:line="360" w:lineRule="auto"/>
        <w:ind w:firstLine="570"/>
        <w:rPr>
          <w:rFonts w:ascii="仿宋" w:hAnsi="仿宋" w:eastAsia="仿宋" w:cs="仿宋"/>
          <w:color w:val="auto"/>
          <w:sz w:val="24"/>
          <w:highlight w:val="none"/>
        </w:rPr>
      </w:pPr>
      <w:r>
        <w:rPr>
          <w:rFonts w:hint="eastAsia" w:ascii="仿宋" w:hAnsi="仿宋" w:eastAsia="仿宋" w:cs="仿宋"/>
          <w:color w:val="auto"/>
          <w:sz w:val="24"/>
          <w:highlight w:val="none"/>
        </w:rPr>
        <w:t>人民币（大写）</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元)；</w:t>
      </w:r>
    </w:p>
    <w:p>
      <w:pPr>
        <w:snapToGrid w:val="0"/>
        <w:spacing w:line="360" w:lineRule="auto"/>
        <w:ind w:firstLine="570"/>
        <w:rPr>
          <w:rFonts w:ascii="仿宋" w:hAnsi="仿宋" w:eastAsia="仿宋" w:cs="仿宋"/>
          <w:color w:val="auto"/>
          <w:sz w:val="24"/>
          <w:highlight w:val="none"/>
        </w:rPr>
      </w:pPr>
      <w:r>
        <w:rPr>
          <w:rFonts w:hint="eastAsia" w:ascii="仿宋" w:hAnsi="仿宋" w:eastAsia="仿宋" w:cs="仿宋"/>
          <w:color w:val="auto"/>
          <w:sz w:val="24"/>
          <w:highlight w:val="none"/>
        </w:rPr>
        <w:t>（4）暂列金额：</w:t>
      </w:r>
    </w:p>
    <w:p>
      <w:pPr>
        <w:snapToGrid w:val="0"/>
        <w:spacing w:line="360" w:lineRule="auto"/>
        <w:ind w:firstLine="570"/>
        <w:rPr>
          <w:rFonts w:ascii="仿宋" w:hAnsi="仿宋" w:eastAsia="仿宋" w:cs="仿宋"/>
          <w:color w:val="auto"/>
          <w:sz w:val="24"/>
          <w:highlight w:val="none"/>
        </w:rPr>
      </w:pPr>
      <w:r>
        <w:rPr>
          <w:rFonts w:hint="eastAsia" w:ascii="仿宋" w:hAnsi="仿宋" w:eastAsia="仿宋" w:cs="仿宋"/>
          <w:color w:val="auto"/>
          <w:sz w:val="24"/>
          <w:highlight w:val="none"/>
        </w:rPr>
        <w:t>人民币（大写）</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元)。</w:t>
      </w:r>
    </w:p>
    <w:p>
      <w:pPr>
        <w:snapToGrid w:val="0"/>
        <w:spacing w:line="360" w:lineRule="auto"/>
        <w:ind w:firstLine="570"/>
        <w:rPr>
          <w:rFonts w:ascii="仿宋" w:hAnsi="仿宋" w:eastAsia="仿宋" w:cs="仿宋"/>
          <w:color w:val="auto"/>
          <w:sz w:val="24"/>
          <w:highlight w:val="none"/>
        </w:rPr>
      </w:pPr>
      <w:r>
        <w:rPr>
          <w:rFonts w:hint="eastAsia" w:ascii="仿宋" w:hAnsi="仿宋" w:eastAsia="仿宋" w:cs="仿宋"/>
          <w:color w:val="auto"/>
          <w:sz w:val="24"/>
          <w:highlight w:val="none"/>
        </w:rPr>
        <w:t>2.合同价格形式：</w:t>
      </w:r>
      <w:r>
        <w:rPr>
          <w:rFonts w:hint="eastAsia" w:ascii="仿宋" w:hAnsi="仿宋" w:eastAsia="仿宋" w:cs="仿宋"/>
          <w:color w:val="auto"/>
          <w:sz w:val="24"/>
          <w:highlight w:val="none"/>
          <w:u w:val="single"/>
        </w:rPr>
        <w:t>固定单价合同       </w:t>
      </w:r>
      <w:r>
        <w:rPr>
          <w:rFonts w:hint="eastAsia" w:ascii="仿宋" w:hAnsi="仿宋" w:eastAsia="仿宋" w:cs="仿宋"/>
          <w:color w:val="auto"/>
          <w:sz w:val="24"/>
          <w:highlight w:val="none"/>
        </w:rPr>
        <w:t>。</w:t>
      </w:r>
    </w:p>
    <w:p>
      <w:pPr>
        <w:snapToGrid w:val="0"/>
        <w:spacing w:line="360" w:lineRule="auto"/>
        <w:ind w:firstLine="570"/>
        <w:rPr>
          <w:rFonts w:ascii="仿宋" w:hAnsi="仿宋" w:eastAsia="仿宋" w:cs="仿宋"/>
          <w:color w:val="auto"/>
          <w:sz w:val="24"/>
          <w:highlight w:val="none"/>
        </w:rPr>
      </w:pPr>
      <w:r>
        <w:rPr>
          <w:rFonts w:hint="eastAsia" w:ascii="仿宋" w:hAnsi="仿宋" w:eastAsia="仿宋" w:cs="仿宋"/>
          <w:color w:val="auto"/>
          <w:sz w:val="24"/>
          <w:highlight w:val="none"/>
        </w:rPr>
        <w:t>五、项目经理</w:t>
      </w:r>
    </w:p>
    <w:p>
      <w:pPr>
        <w:snapToGrid w:val="0"/>
        <w:spacing w:line="360" w:lineRule="auto"/>
        <w:ind w:firstLine="570"/>
        <w:rPr>
          <w:rFonts w:ascii="仿宋" w:hAnsi="仿宋" w:eastAsia="仿宋" w:cs="仿宋"/>
          <w:color w:val="auto"/>
          <w:sz w:val="24"/>
          <w:highlight w:val="none"/>
        </w:rPr>
      </w:pPr>
      <w:r>
        <w:rPr>
          <w:rFonts w:hint="eastAsia" w:ascii="仿宋" w:hAnsi="仿宋" w:eastAsia="仿宋" w:cs="仿宋"/>
          <w:color w:val="auto"/>
          <w:sz w:val="24"/>
          <w:highlight w:val="none"/>
        </w:rPr>
        <w:t>承包人项目经理：</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napToGrid w:val="0"/>
        <w:spacing w:line="360" w:lineRule="auto"/>
        <w:ind w:firstLine="570"/>
        <w:rPr>
          <w:rFonts w:ascii="仿宋" w:hAnsi="仿宋" w:eastAsia="仿宋" w:cs="仿宋"/>
          <w:color w:val="auto"/>
          <w:sz w:val="24"/>
          <w:highlight w:val="none"/>
        </w:rPr>
      </w:pPr>
      <w:r>
        <w:rPr>
          <w:rFonts w:hint="eastAsia" w:ascii="仿宋" w:hAnsi="仿宋" w:eastAsia="仿宋" w:cs="仿宋"/>
          <w:color w:val="auto"/>
          <w:sz w:val="24"/>
          <w:highlight w:val="none"/>
        </w:rPr>
        <w:t>六、合同文件构成</w:t>
      </w:r>
    </w:p>
    <w:p>
      <w:pPr>
        <w:snapToGrid w:val="0"/>
        <w:spacing w:line="360" w:lineRule="auto"/>
        <w:ind w:firstLine="573"/>
        <w:rPr>
          <w:rFonts w:ascii="仿宋" w:hAnsi="仿宋" w:eastAsia="仿宋" w:cs="仿宋"/>
          <w:color w:val="auto"/>
          <w:sz w:val="24"/>
          <w:highlight w:val="none"/>
        </w:rPr>
      </w:pPr>
      <w:r>
        <w:rPr>
          <w:rFonts w:hint="eastAsia" w:ascii="仿宋" w:hAnsi="仿宋" w:eastAsia="仿宋" w:cs="仿宋"/>
          <w:color w:val="auto"/>
          <w:sz w:val="24"/>
          <w:highlight w:val="none"/>
        </w:rPr>
        <w:t>本协议书与下列文件一起构成合同文件：</w:t>
      </w:r>
    </w:p>
    <w:p>
      <w:pPr>
        <w:snapToGrid w:val="0"/>
        <w:spacing w:line="360" w:lineRule="auto"/>
        <w:ind w:firstLine="573"/>
        <w:rPr>
          <w:rFonts w:ascii="仿宋" w:hAnsi="仿宋" w:eastAsia="仿宋" w:cs="仿宋"/>
          <w:color w:val="auto"/>
          <w:sz w:val="24"/>
          <w:highlight w:val="none"/>
        </w:rPr>
      </w:pPr>
      <w:r>
        <w:rPr>
          <w:rFonts w:hint="eastAsia" w:ascii="仿宋" w:hAnsi="仿宋" w:eastAsia="仿宋" w:cs="仿宋"/>
          <w:color w:val="auto"/>
          <w:sz w:val="24"/>
          <w:highlight w:val="none"/>
        </w:rPr>
        <w:t>（1）中标通知书（如果有）；</w:t>
      </w:r>
    </w:p>
    <w:p>
      <w:pPr>
        <w:snapToGrid w:val="0"/>
        <w:spacing w:line="360" w:lineRule="auto"/>
        <w:ind w:firstLine="573"/>
        <w:rPr>
          <w:rFonts w:ascii="仿宋" w:hAnsi="仿宋" w:eastAsia="仿宋" w:cs="仿宋"/>
          <w:color w:val="auto"/>
          <w:sz w:val="24"/>
          <w:highlight w:val="none"/>
        </w:rPr>
      </w:pPr>
      <w:r>
        <w:rPr>
          <w:rFonts w:hint="eastAsia" w:ascii="仿宋" w:hAnsi="仿宋" w:eastAsia="仿宋" w:cs="仿宋"/>
          <w:color w:val="auto"/>
          <w:sz w:val="24"/>
          <w:highlight w:val="none"/>
        </w:rPr>
        <w:t>（2）投标函及其附录（如果有）；</w:t>
      </w:r>
    </w:p>
    <w:p>
      <w:pPr>
        <w:snapToGrid w:val="0"/>
        <w:spacing w:line="360" w:lineRule="auto"/>
        <w:ind w:firstLine="573"/>
        <w:rPr>
          <w:rFonts w:ascii="仿宋" w:hAnsi="仿宋" w:eastAsia="仿宋" w:cs="仿宋"/>
          <w:color w:val="auto"/>
          <w:sz w:val="24"/>
          <w:highlight w:val="none"/>
        </w:rPr>
      </w:pPr>
      <w:r>
        <w:rPr>
          <w:rFonts w:hint="eastAsia" w:ascii="仿宋" w:hAnsi="仿宋" w:eastAsia="仿宋" w:cs="仿宋"/>
          <w:color w:val="auto"/>
          <w:sz w:val="24"/>
          <w:highlight w:val="none"/>
        </w:rPr>
        <w:t>（3）专用合同条款及其附件；</w:t>
      </w:r>
    </w:p>
    <w:p>
      <w:pPr>
        <w:snapToGrid w:val="0"/>
        <w:spacing w:line="360" w:lineRule="auto"/>
        <w:ind w:firstLine="573"/>
        <w:rPr>
          <w:rFonts w:ascii="仿宋" w:hAnsi="仿宋" w:eastAsia="仿宋" w:cs="仿宋"/>
          <w:color w:val="auto"/>
          <w:sz w:val="24"/>
          <w:highlight w:val="none"/>
        </w:rPr>
      </w:pPr>
      <w:r>
        <w:rPr>
          <w:rFonts w:hint="eastAsia" w:ascii="仿宋" w:hAnsi="仿宋" w:eastAsia="仿宋" w:cs="仿宋"/>
          <w:color w:val="auto"/>
          <w:sz w:val="24"/>
          <w:highlight w:val="none"/>
        </w:rPr>
        <w:t>（4）通用合同条款；</w:t>
      </w:r>
    </w:p>
    <w:p>
      <w:pPr>
        <w:snapToGrid w:val="0"/>
        <w:spacing w:line="360" w:lineRule="auto"/>
        <w:ind w:firstLine="573"/>
        <w:rPr>
          <w:rFonts w:ascii="仿宋" w:hAnsi="仿宋" w:eastAsia="仿宋" w:cs="仿宋"/>
          <w:color w:val="auto"/>
          <w:sz w:val="24"/>
          <w:highlight w:val="none"/>
        </w:rPr>
      </w:pPr>
      <w:r>
        <w:rPr>
          <w:rFonts w:hint="eastAsia" w:ascii="仿宋" w:hAnsi="仿宋" w:eastAsia="仿宋" w:cs="仿宋"/>
          <w:color w:val="auto"/>
          <w:sz w:val="24"/>
          <w:highlight w:val="none"/>
        </w:rPr>
        <w:t>（5）技术标准和要求；</w:t>
      </w:r>
    </w:p>
    <w:p>
      <w:pPr>
        <w:snapToGrid w:val="0"/>
        <w:spacing w:line="360" w:lineRule="auto"/>
        <w:ind w:firstLine="573"/>
        <w:rPr>
          <w:rFonts w:ascii="仿宋" w:hAnsi="仿宋" w:eastAsia="仿宋" w:cs="仿宋"/>
          <w:color w:val="auto"/>
          <w:sz w:val="24"/>
          <w:highlight w:val="none"/>
        </w:rPr>
      </w:pPr>
      <w:r>
        <w:rPr>
          <w:rFonts w:hint="eastAsia" w:ascii="仿宋" w:hAnsi="仿宋" w:eastAsia="仿宋" w:cs="仿宋"/>
          <w:color w:val="auto"/>
          <w:sz w:val="24"/>
          <w:highlight w:val="none"/>
        </w:rPr>
        <w:t>（6）图纸；</w:t>
      </w:r>
    </w:p>
    <w:p>
      <w:pPr>
        <w:snapToGrid w:val="0"/>
        <w:spacing w:line="360" w:lineRule="auto"/>
        <w:ind w:firstLine="573"/>
        <w:rPr>
          <w:rFonts w:ascii="仿宋" w:hAnsi="仿宋" w:eastAsia="仿宋" w:cs="仿宋"/>
          <w:color w:val="auto"/>
          <w:sz w:val="24"/>
          <w:highlight w:val="none"/>
        </w:rPr>
      </w:pPr>
      <w:r>
        <w:rPr>
          <w:rFonts w:hint="eastAsia" w:ascii="仿宋" w:hAnsi="仿宋" w:eastAsia="仿宋" w:cs="仿宋"/>
          <w:color w:val="auto"/>
          <w:sz w:val="24"/>
          <w:highlight w:val="none"/>
        </w:rPr>
        <w:t>（7）已标价工程量清单或预算书；</w:t>
      </w:r>
    </w:p>
    <w:p>
      <w:pPr>
        <w:snapToGrid w:val="0"/>
        <w:spacing w:line="360" w:lineRule="auto"/>
        <w:ind w:firstLine="573"/>
        <w:rPr>
          <w:rFonts w:ascii="仿宋" w:hAnsi="仿宋" w:eastAsia="仿宋" w:cs="仿宋"/>
          <w:color w:val="auto"/>
          <w:sz w:val="24"/>
          <w:highlight w:val="none"/>
        </w:rPr>
      </w:pPr>
      <w:r>
        <w:rPr>
          <w:rFonts w:hint="eastAsia" w:ascii="仿宋" w:hAnsi="仿宋" w:eastAsia="仿宋" w:cs="仿宋"/>
          <w:color w:val="auto"/>
          <w:sz w:val="24"/>
          <w:highlight w:val="none"/>
        </w:rPr>
        <w:t>（8）其他合同文件。</w:t>
      </w:r>
    </w:p>
    <w:p>
      <w:pPr>
        <w:snapToGrid w:val="0"/>
        <w:spacing w:line="360" w:lineRule="auto"/>
        <w:ind w:firstLine="573"/>
        <w:rPr>
          <w:rFonts w:ascii="仿宋" w:hAnsi="仿宋" w:eastAsia="仿宋" w:cs="仿宋"/>
          <w:color w:val="auto"/>
          <w:sz w:val="24"/>
          <w:highlight w:val="none"/>
        </w:rPr>
      </w:pPr>
      <w:r>
        <w:rPr>
          <w:rFonts w:hint="eastAsia" w:ascii="仿宋" w:hAnsi="仿宋" w:eastAsia="仿宋" w:cs="仿宋"/>
          <w:color w:val="auto"/>
          <w:sz w:val="24"/>
          <w:highlight w:val="none"/>
        </w:rPr>
        <w:t>在合同订立及履行过程中形成的与合同有关的文件均构成合同文件组成部分。</w:t>
      </w:r>
    </w:p>
    <w:p>
      <w:pPr>
        <w:snapToGrid w:val="0"/>
        <w:spacing w:line="360" w:lineRule="auto"/>
        <w:ind w:firstLine="573"/>
        <w:rPr>
          <w:rFonts w:ascii="仿宋" w:hAnsi="仿宋" w:eastAsia="仿宋" w:cs="仿宋"/>
          <w:color w:val="auto"/>
          <w:sz w:val="24"/>
          <w:highlight w:val="none"/>
        </w:rPr>
      </w:pPr>
      <w:r>
        <w:rPr>
          <w:rFonts w:hint="eastAsia" w:ascii="仿宋" w:hAnsi="仿宋" w:eastAsia="仿宋" w:cs="仿宋"/>
          <w:color w:val="auto"/>
          <w:sz w:val="24"/>
          <w:highlight w:val="none"/>
        </w:rPr>
        <w:t>上述各项合同文件包括合同当事人就该项合同文件所作出的补充和修改，属于同一类内容的文件，应以最新签署的为准。专用合同条款及其附件须经合同当事人签字或盖章。</w:t>
      </w:r>
    </w:p>
    <w:p>
      <w:pPr>
        <w:snapToGrid w:val="0"/>
        <w:spacing w:line="360" w:lineRule="auto"/>
        <w:ind w:firstLine="570"/>
        <w:rPr>
          <w:rFonts w:ascii="仿宋" w:hAnsi="仿宋" w:eastAsia="仿宋" w:cs="仿宋"/>
          <w:color w:val="auto"/>
          <w:sz w:val="24"/>
          <w:highlight w:val="none"/>
        </w:rPr>
      </w:pPr>
      <w:r>
        <w:rPr>
          <w:rFonts w:hint="eastAsia" w:ascii="仿宋" w:hAnsi="仿宋" w:eastAsia="仿宋" w:cs="仿宋"/>
          <w:color w:val="auto"/>
          <w:sz w:val="24"/>
          <w:highlight w:val="none"/>
        </w:rPr>
        <w:t>七、承诺</w:t>
      </w:r>
    </w:p>
    <w:p>
      <w:pPr>
        <w:snapToGrid w:val="0"/>
        <w:spacing w:line="360" w:lineRule="auto"/>
        <w:ind w:firstLine="570"/>
        <w:rPr>
          <w:rFonts w:ascii="仿宋" w:hAnsi="仿宋" w:eastAsia="仿宋" w:cs="仿宋"/>
          <w:color w:val="auto"/>
          <w:sz w:val="24"/>
          <w:highlight w:val="none"/>
        </w:rPr>
      </w:pPr>
      <w:r>
        <w:rPr>
          <w:rFonts w:hint="eastAsia" w:ascii="仿宋" w:hAnsi="仿宋" w:eastAsia="仿宋" w:cs="仿宋"/>
          <w:color w:val="auto"/>
          <w:sz w:val="24"/>
          <w:highlight w:val="none"/>
        </w:rPr>
        <w:t>1.发包人承诺按照法律规定履行项目审批手续、筹集工程建设资金并按照合同约定的期限和方式支付合同价款。</w:t>
      </w:r>
    </w:p>
    <w:p>
      <w:pPr>
        <w:snapToGrid w:val="0"/>
        <w:spacing w:line="360" w:lineRule="auto"/>
        <w:ind w:firstLine="570"/>
        <w:rPr>
          <w:rFonts w:ascii="仿宋" w:hAnsi="仿宋" w:eastAsia="仿宋" w:cs="仿宋"/>
          <w:color w:val="auto"/>
          <w:sz w:val="24"/>
          <w:highlight w:val="none"/>
        </w:rPr>
      </w:pPr>
      <w:r>
        <w:rPr>
          <w:rFonts w:hint="eastAsia" w:ascii="仿宋" w:hAnsi="仿宋" w:eastAsia="仿宋" w:cs="仿宋"/>
          <w:color w:val="auto"/>
          <w:sz w:val="24"/>
          <w:highlight w:val="none"/>
        </w:rPr>
        <w:t>2.承包人承诺按照法律规定及合同约定组织完成工程施工，确保工程质量和安全，不进行转包及违法分包，并在缺陷责任期及保修期内承担相应的工程维修责任。</w:t>
      </w:r>
    </w:p>
    <w:p>
      <w:pPr>
        <w:snapToGrid w:val="0"/>
        <w:spacing w:line="360" w:lineRule="auto"/>
        <w:ind w:firstLine="570"/>
        <w:rPr>
          <w:rFonts w:ascii="仿宋" w:hAnsi="仿宋" w:eastAsia="仿宋" w:cs="仿宋"/>
          <w:color w:val="auto"/>
          <w:sz w:val="24"/>
          <w:highlight w:val="none"/>
        </w:rPr>
      </w:pPr>
      <w:r>
        <w:rPr>
          <w:rFonts w:hint="eastAsia" w:ascii="仿宋" w:hAnsi="仿宋" w:eastAsia="仿宋" w:cs="仿宋"/>
          <w:color w:val="auto"/>
          <w:sz w:val="24"/>
          <w:highlight w:val="none"/>
        </w:rPr>
        <w:t>3.发包人和承包人通过招投标形式签订合同的，双方理解并承诺不再就同一工程另行签订与合同实质性内容相背离的协议。</w:t>
      </w:r>
    </w:p>
    <w:p>
      <w:pPr>
        <w:snapToGrid w:val="0"/>
        <w:spacing w:line="360" w:lineRule="auto"/>
        <w:ind w:firstLine="570"/>
        <w:rPr>
          <w:rFonts w:ascii="仿宋" w:hAnsi="仿宋" w:eastAsia="仿宋" w:cs="仿宋"/>
          <w:color w:val="auto"/>
          <w:sz w:val="24"/>
          <w:highlight w:val="none"/>
        </w:rPr>
      </w:pPr>
      <w:bookmarkStart w:id="400" w:name="_Toc351203488"/>
      <w:r>
        <w:rPr>
          <w:rFonts w:hint="eastAsia" w:ascii="仿宋" w:hAnsi="仿宋" w:eastAsia="仿宋" w:cs="仿宋"/>
          <w:color w:val="auto"/>
          <w:sz w:val="24"/>
          <w:highlight w:val="none"/>
        </w:rPr>
        <w:t>八、词语含义</w:t>
      </w:r>
      <w:bookmarkEnd w:id="400"/>
    </w:p>
    <w:p>
      <w:pPr>
        <w:snapToGrid w:val="0"/>
        <w:spacing w:line="360" w:lineRule="auto"/>
        <w:ind w:firstLine="570"/>
        <w:rPr>
          <w:rFonts w:ascii="仿宋" w:hAnsi="仿宋" w:eastAsia="仿宋" w:cs="仿宋"/>
          <w:color w:val="auto"/>
          <w:sz w:val="24"/>
          <w:highlight w:val="none"/>
        </w:rPr>
      </w:pPr>
      <w:r>
        <w:rPr>
          <w:rFonts w:hint="eastAsia" w:ascii="仿宋" w:hAnsi="仿宋" w:eastAsia="仿宋" w:cs="仿宋"/>
          <w:color w:val="auto"/>
          <w:sz w:val="24"/>
          <w:highlight w:val="none"/>
        </w:rPr>
        <w:t>本协议书中词语含义与第二部分通用合同条款中赋予的含义相同。</w:t>
      </w:r>
    </w:p>
    <w:p>
      <w:pPr>
        <w:snapToGrid w:val="0"/>
        <w:spacing w:line="360" w:lineRule="auto"/>
        <w:ind w:firstLine="570"/>
        <w:rPr>
          <w:rFonts w:ascii="仿宋" w:hAnsi="仿宋" w:eastAsia="仿宋" w:cs="仿宋"/>
          <w:color w:val="auto"/>
          <w:sz w:val="24"/>
          <w:highlight w:val="none"/>
        </w:rPr>
      </w:pPr>
      <w:bookmarkStart w:id="401" w:name="_Toc351203489"/>
      <w:r>
        <w:rPr>
          <w:rFonts w:hint="eastAsia" w:ascii="仿宋" w:hAnsi="仿宋" w:eastAsia="仿宋" w:cs="仿宋"/>
          <w:color w:val="auto"/>
          <w:sz w:val="24"/>
          <w:highlight w:val="none"/>
        </w:rPr>
        <w:t>九、签订时间</w:t>
      </w:r>
      <w:bookmarkEnd w:id="401"/>
    </w:p>
    <w:p>
      <w:pPr>
        <w:snapToGrid w:val="0"/>
        <w:spacing w:line="360" w:lineRule="auto"/>
        <w:ind w:firstLine="570"/>
        <w:rPr>
          <w:rFonts w:ascii="仿宋" w:hAnsi="仿宋" w:eastAsia="仿宋" w:cs="仿宋"/>
          <w:color w:val="auto"/>
          <w:sz w:val="24"/>
          <w:highlight w:val="none"/>
        </w:rPr>
      </w:pPr>
      <w:r>
        <w:rPr>
          <w:rFonts w:hint="eastAsia" w:ascii="仿宋" w:hAnsi="仿宋" w:eastAsia="仿宋" w:cs="仿宋"/>
          <w:color w:val="auto"/>
          <w:sz w:val="24"/>
          <w:highlight w:val="none"/>
        </w:rPr>
        <w:t>本合同于</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日签订。</w:t>
      </w:r>
    </w:p>
    <w:p>
      <w:pPr>
        <w:snapToGrid w:val="0"/>
        <w:spacing w:line="360" w:lineRule="auto"/>
        <w:ind w:firstLine="570"/>
        <w:rPr>
          <w:rFonts w:ascii="仿宋" w:hAnsi="仿宋" w:eastAsia="仿宋" w:cs="仿宋"/>
          <w:color w:val="auto"/>
          <w:sz w:val="24"/>
          <w:highlight w:val="none"/>
        </w:rPr>
      </w:pPr>
      <w:bookmarkStart w:id="402" w:name="_Toc351203490"/>
      <w:r>
        <w:rPr>
          <w:rFonts w:hint="eastAsia" w:ascii="仿宋" w:hAnsi="仿宋" w:eastAsia="仿宋" w:cs="仿宋"/>
          <w:color w:val="auto"/>
          <w:sz w:val="24"/>
          <w:highlight w:val="none"/>
        </w:rPr>
        <w:t>十、签订地点</w:t>
      </w:r>
      <w:bookmarkEnd w:id="402"/>
    </w:p>
    <w:p>
      <w:pPr>
        <w:snapToGrid w:val="0"/>
        <w:spacing w:line="360" w:lineRule="auto"/>
        <w:ind w:firstLine="570"/>
        <w:rPr>
          <w:rFonts w:ascii="仿宋" w:hAnsi="仿宋" w:eastAsia="仿宋" w:cs="仿宋"/>
          <w:color w:val="auto"/>
          <w:sz w:val="24"/>
          <w:highlight w:val="none"/>
        </w:rPr>
      </w:pPr>
      <w:r>
        <w:rPr>
          <w:rFonts w:hint="eastAsia" w:ascii="仿宋" w:hAnsi="仿宋" w:eastAsia="仿宋" w:cs="仿宋"/>
          <w:color w:val="auto"/>
          <w:sz w:val="24"/>
          <w:highlight w:val="none"/>
        </w:rPr>
        <w:t>本合同在</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签订。</w:t>
      </w:r>
    </w:p>
    <w:p>
      <w:pPr>
        <w:snapToGrid w:val="0"/>
        <w:spacing w:line="360" w:lineRule="auto"/>
        <w:ind w:firstLine="570"/>
        <w:rPr>
          <w:rFonts w:ascii="仿宋" w:hAnsi="仿宋" w:eastAsia="仿宋" w:cs="仿宋"/>
          <w:color w:val="auto"/>
          <w:sz w:val="24"/>
          <w:highlight w:val="none"/>
        </w:rPr>
      </w:pPr>
      <w:bookmarkStart w:id="403" w:name="_Toc351203491"/>
      <w:r>
        <w:rPr>
          <w:rFonts w:hint="eastAsia" w:ascii="仿宋" w:hAnsi="仿宋" w:eastAsia="仿宋" w:cs="仿宋"/>
          <w:color w:val="auto"/>
          <w:sz w:val="24"/>
          <w:highlight w:val="none"/>
        </w:rPr>
        <w:t>十一、补充协议</w:t>
      </w:r>
      <w:bookmarkEnd w:id="403"/>
    </w:p>
    <w:p>
      <w:pPr>
        <w:snapToGrid w:val="0"/>
        <w:spacing w:line="360" w:lineRule="auto"/>
        <w:ind w:firstLine="570"/>
        <w:rPr>
          <w:rFonts w:ascii="仿宋" w:hAnsi="仿宋" w:eastAsia="仿宋" w:cs="仿宋"/>
          <w:color w:val="auto"/>
          <w:sz w:val="24"/>
          <w:highlight w:val="none"/>
        </w:rPr>
      </w:pPr>
      <w:r>
        <w:rPr>
          <w:rFonts w:hint="eastAsia" w:ascii="仿宋" w:hAnsi="仿宋" w:eastAsia="仿宋" w:cs="仿宋"/>
          <w:color w:val="auto"/>
          <w:sz w:val="24"/>
          <w:highlight w:val="none"/>
        </w:rPr>
        <w:t>合同未尽事宜，合同当事人另行签订补充协议，补充协议是合同的组成部分。</w:t>
      </w:r>
    </w:p>
    <w:p>
      <w:pPr>
        <w:snapToGrid w:val="0"/>
        <w:spacing w:line="360" w:lineRule="auto"/>
        <w:ind w:firstLine="570"/>
        <w:rPr>
          <w:rFonts w:ascii="仿宋" w:hAnsi="仿宋" w:eastAsia="仿宋" w:cs="仿宋"/>
          <w:color w:val="auto"/>
          <w:sz w:val="24"/>
          <w:highlight w:val="none"/>
        </w:rPr>
      </w:pPr>
      <w:bookmarkStart w:id="404" w:name="_Toc351203492"/>
      <w:r>
        <w:rPr>
          <w:rFonts w:hint="eastAsia" w:ascii="仿宋" w:hAnsi="仿宋" w:eastAsia="仿宋" w:cs="仿宋"/>
          <w:color w:val="auto"/>
          <w:sz w:val="24"/>
          <w:highlight w:val="none"/>
        </w:rPr>
        <w:t>十二、合同生效</w:t>
      </w:r>
      <w:bookmarkEnd w:id="404"/>
    </w:p>
    <w:p>
      <w:pPr>
        <w:snapToGrid w:val="0"/>
        <w:spacing w:line="360" w:lineRule="auto"/>
        <w:ind w:firstLine="570"/>
        <w:rPr>
          <w:rFonts w:ascii="仿宋" w:hAnsi="仿宋" w:eastAsia="仿宋" w:cs="仿宋"/>
          <w:color w:val="auto"/>
          <w:sz w:val="24"/>
          <w:highlight w:val="none"/>
        </w:rPr>
      </w:pPr>
      <w:r>
        <w:rPr>
          <w:rFonts w:hint="eastAsia" w:ascii="仿宋" w:hAnsi="仿宋" w:eastAsia="仿宋" w:cs="仿宋"/>
          <w:color w:val="auto"/>
          <w:sz w:val="24"/>
          <w:highlight w:val="none"/>
        </w:rPr>
        <w:t>本合同自</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生效。</w:t>
      </w:r>
    </w:p>
    <w:p>
      <w:pPr>
        <w:snapToGrid w:val="0"/>
        <w:spacing w:line="360" w:lineRule="auto"/>
        <w:ind w:firstLine="570"/>
        <w:rPr>
          <w:rFonts w:ascii="仿宋" w:hAnsi="仿宋" w:eastAsia="仿宋" w:cs="仿宋"/>
          <w:color w:val="auto"/>
          <w:sz w:val="24"/>
          <w:highlight w:val="none"/>
        </w:rPr>
      </w:pPr>
      <w:bookmarkStart w:id="405" w:name="_Toc351203493"/>
      <w:r>
        <w:rPr>
          <w:rFonts w:hint="eastAsia" w:ascii="仿宋" w:hAnsi="仿宋" w:eastAsia="仿宋" w:cs="仿宋"/>
          <w:color w:val="auto"/>
          <w:sz w:val="24"/>
          <w:highlight w:val="none"/>
        </w:rPr>
        <w:t>十三、合同份数</w:t>
      </w:r>
      <w:bookmarkEnd w:id="405"/>
    </w:p>
    <w:p>
      <w:pPr>
        <w:snapToGrid w:val="0"/>
        <w:spacing w:line="360" w:lineRule="auto"/>
        <w:ind w:firstLine="570"/>
        <w:rPr>
          <w:rFonts w:ascii="仿宋" w:hAnsi="仿宋" w:eastAsia="仿宋" w:cs="仿宋"/>
          <w:color w:val="auto"/>
          <w:sz w:val="24"/>
          <w:highlight w:val="none"/>
        </w:rPr>
      </w:pPr>
      <w:r>
        <w:rPr>
          <w:rFonts w:hint="eastAsia" w:ascii="仿宋" w:hAnsi="仿宋" w:eastAsia="仿宋" w:cs="仿宋"/>
          <w:color w:val="auto"/>
          <w:sz w:val="24"/>
          <w:highlight w:val="none"/>
        </w:rPr>
        <w:t>本合同一式</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份，均具有同等法律效力，发包人执</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份，承包人执</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份。</w:t>
      </w:r>
    </w:p>
    <w:p>
      <w:pPr>
        <w:snapToGrid w:val="0"/>
        <w:spacing w:line="360" w:lineRule="auto"/>
        <w:ind w:firstLine="570"/>
        <w:rPr>
          <w:rFonts w:ascii="仿宋" w:hAnsi="仿宋" w:eastAsia="仿宋" w:cs="仿宋"/>
          <w:color w:val="auto"/>
          <w:sz w:val="24"/>
          <w:highlight w:val="none"/>
        </w:rPr>
      </w:pPr>
    </w:p>
    <w:p>
      <w:pPr>
        <w:snapToGrid w:val="0"/>
        <w:spacing w:line="360" w:lineRule="auto"/>
        <w:ind w:firstLine="570"/>
        <w:rPr>
          <w:rFonts w:ascii="仿宋" w:hAnsi="仿宋" w:eastAsia="仿宋" w:cs="仿宋"/>
          <w:color w:val="auto"/>
          <w:sz w:val="24"/>
          <w:highlight w:val="none"/>
        </w:rPr>
      </w:pPr>
    </w:p>
    <w:p>
      <w:pPr>
        <w:snapToGrid w:val="0"/>
        <w:spacing w:line="360" w:lineRule="auto"/>
        <w:ind w:firstLine="570"/>
        <w:rPr>
          <w:rFonts w:ascii="仿宋" w:hAnsi="仿宋" w:eastAsia="仿宋" w:cs="仿宋"/>
          <w:color w:val="auto"/>
          <w:sz w:val="24"/>
          <w:highlight w:val="none"/>
        </w:rPr>
      </w:pPr>
      <w:r>
        <w:rPr>
          <w:rFonts w:hint="eastAsia" w:ascii="仿宋" w:hAnsi="仿宋" w:eastAsia="仿宋" w:cs="仿宋"/>
          <w:color w:val="auto"/>
          <w:sz w:val="24"/>
          <w:highlight w:val="none"/>
        </w:rPr>
        <w:t>发包人：  (公章)                      承包人：  (公章)</w:t>
      </w:r>
    </w:p>
    <w:p>
      <w:pPr>
        <w:snapToGrid w:val="0"/>
        <w:spacing w:line="360" w:lineRule="auto"/>
        <w:ind w:firstLine="570"/>
        <w:rPr>
          <w:rFonts w:ascii="仿宋" w:hAnsi="仿宋" w:eastAsia="仿宋" w:cs="仿宋"/>
          <w:color w:val="auto"/>
          <w:sz w:val="24"/>
          <w:highlight w:val="none"/>
        </w:rPr>
      </w:pPr>
      <w:r>
        <w:rPr>
          <w:rFonts w:hint="eastAsia" w:ascii="仿宋" w:hAnsi="仿宋" w:eastAsia="仿宋" w:cs="仿宋"/>
          <w:color w:val="auto"/>
          <w:sz w:val="24"/>
          <w:highlight w:val="none"/>
        </w:rPr>
        <w:t xml:space="preserve">                                 </w:t>
      </w:r>
    </w:p>
    <w:p>
      <w:pPr>
        <w:snapToGrid w:val="0"/>
        <w:spacing w:line="360" w:lineRule="auto"/>
        <w:ind w:firstLine="570"/>
        <w:rPr>
          <w:rFonts w:ascii="仿宋" w:hAnsi="仿宋" w:eastAsia="仿宋" w:cs="仿宋"/>
          <w:color w:val="auto"/>
          <w:sz w:val="24"/>
          <w:highlight w:val="none"/>
        </w:rPr>
      </w:pPr>
      <w:r>
        <w:rPr>
          <w:rFonts w:hint="eastAsia" w:ascii="仿宋" w:hAnsi="仿宋" w:eastAsia="仿宋" w:cs="仿宋"/>
          <w:color w:val="auto"/>
          <w:sz w:val="24"/>
          <w:highlight w:val="none"/>
        </w:rPr>
        <w:t>法定代表人或其委托代理人：            法定代表人或其委托代理人：</w:t>
      </w:r>
    </w:p>
    <w:p>
      <w:pPr>
        <w:snapToGrid w:val="0"/>
        <w:spacing w:line="360" w:lineRule="auto"/>
        <w:ind w:firstLine="570"/>
        <w:rPr>
          <w:rFonts w:ascii="仿宋" w:hAnsi="仿宋" w:eastAsia="仿宋" w:cs="仿宋"/>
          <w:color w:val="auto"/>
          <w:sz w:val="24"/>
          <w:highlight w:val="none"/>
        </w:rPr>
      </w:pPr>
      <w:r>
        <w:rPr>
          <w:rFonts w:hint="eastAsia" w:ascii="仿宋" w:hAnsi="仿宋" w:eastAsia="仿宋" w:cs="仿宋"/>
          <w:color w:val="auto"/>
          <w:sz w:val="24"/>
          <w:highlight w:val="none"/>
        </w:rPr>
        <w:t>（签字）                                                 （签字）</w:t>
      </w:r>
    </w:p>
    <w:p>
      <w:pPr>
        <w:snapToGrid w:val="0"/>
        <w:spacing w:line="360" w:lineRule="auto"/>
        <w:ind w:firstLine="570"/>
        <w:rPr>
          <w:rFonts w:ascii="仿宋" w:hAnsi="仿宋" w:eastAsia="仿宋" w:cs="仿宋"/>
          <w:color w:val="auto"/>
          <w:sz w:val="24"/>
          <w:highlight w:val="none"/>
        </w:rPr>
      </w:pPr>
    </w:p>
    <w:p>
      <w:pPr>
        <w:snapToGrid w:val="0"/>
        <w:spacing w:line="360" w:lineRule="auto"/>
        <w:ind w:firstLine="570"/>
        <w:rPr>
          <w:rFonts w:ascii="仿宋" w:hAnsi="仿宋" w:eastAsia="仿宋" w:cs="仿宋"/>
          <w:color w:val="auto"/>
          <w:sz w:val="24"/>
          <w:highlight w:val="none"/>
        </w:rPr>
      </w:pPr>
      <w:r>
        <w:rPr>
          <w:rFonts w:hint="eastAsia" w:ascii="仿宋" w:hAnsi="仿宋" w:eastAsia="仿宋" w:cs="仿宋"/>
          <w:color w:val="auto"/>
          <w:sz w:val="24"/>
          <w:highlight w:val="none"/>
        </w:rPr>
        <w:t xml:space="preserve">组织机构代码：                   组织机构代码：           </w:t>
      </w:r>
    </w:p>
    <w:p>
      <w:pPr>
        <w:snapToGrid w:val="0"/>
        <w:spacing w:line="360" w:lineRule="auto"/>
        <w:ind w:firstLine="570"/>
        <w:rPr>
          <w:rFonts w:ascii="仿宋" w:hAnsi="仿宋" w:eastAsia="仿宋" w:cs="仿宋"/>
          <w:color w:val="auto"/>
          <w:sz w:val="24"/>
          <w:highlight w:val="none"/>
        </w:rPr>
      </w:pPr>
      <w:r>
        <w:rPr>
          <w:rFonts w:hint="eastAsia" w:ascii="仿宋" w:hAnsi="仿宋" w:eastAsia="仿宋" w:cs="仿宋"/>
          <w:color w:val="auto"/>
          <w:sz w:val="24"/>
          <w:highlight w:val="none"/>
        </w:rPr>
        <w:t xml:space="preserve">地  址：                 地  址：        </w:t>
      </w:r>
    </w:p>
    <w:p>
      <w:pPr>
        <w:snapToGrid w:val="0"/>
        <w:spacing w:line="360" w:lineRule="auto"/>
        <w:ind w:firstLine="570"/>
        <w:rPr>
          <w:rFonts w:ascii="仿宋" w:hAnsi="仿宋" w:eastAsia="仿宋" w:cs="仿宋"/>
          <w:color w:val="auto"/>
          <w:sz w:val="24"/>
          <w:highlight w:val="none"/>
        </w:rPr>
      </w:pPr>
      <w:r>
        <w:rPr>
          <w:rFonts w:hint="eastAsia" w:ascii="仿宋" w:hAnsi="仿宋" w:eastAsia="仿宋" w:cs="仿宋"/>
          <w:color w:val="auto"/>
          <w:sz w:val="24"/>
          <w:highlight w:val="none"/>
        </w:rPr>
        <w:t xml:space="preserve">邮政编码：                 邮政编码：   </w:t>
      </w:r>
    </w:p>
    <w:p>
      <w:pPr>
        <w:snapToGrid w:val="0"/>
        <w:spacing w:line="360" w:lineRule="auto"/>
        <w:ind w:firstLine="570"/>
        <w:rPr>
          <w:rFonts w:ascii="仿宋" w:hAnsi="仿宋" w:eastAsia="仿宋" w:cs="仿宋"/>
          <w:color w:val="auto"/>
          <w:sz w:val="24"/>
          <w:highlight w:val="none"/>
        </w:rPr>
      </w:pPr>
      <w:r>
        <w:rPr>
          <w:rFonts w:hint="eastAsia" w:ascii="仿宋" w:hAnsi="仿宋" w:eastAsia="仿宋" w:cs="仿宋"/>
          <w:color w:val="auto"/>
          <w:sz w:val="24"/>
          <w:highlight w:val="none"/>
        </w:rPr>
        <w:t xml:space="preserve">法定代表人：                       法定代表人：             </w:t>
      </w:r>
    </w:p>
    <w:p>
      <w:pPr>
        <w:snapToGrid w:val="0"/>
        <w:spacing w:line="360" w:lineRule="auto"/>
        <w:ind w:firstLine="570"/>
        <w:rPr>
          <w:rFonts w:ascii="仿宋" w:hAnsi="仿宋" w:eastAsia="仿宋" w:cs="仿宋"/>
          <w:color w:val="auto"/>
          <w:sz w:val="24"/>
          <w:highlight w:val="none"/>
        </w:rPr>
      </w:pPr>
      <w:r>
        <w:rPr>
          <w:rFonts w:hint="eastAsia" w:ascii="仿宋" w:hAnsi="仿宋" w:eastAsia="仿宋" w:cs="仿宋"/>
          <w:color w:val="auto"/>
          <w:sz w:val="24"/>
          <w:highlight w:val="none"/>
        </w:rPr>
        <w:t xml:space="preserve">委托代理人：                       委托代理人：             </w:t>
      </w:r>
    </w:p>
    <w:p>
      <w:pPr>
        <w:snapToGrid w:val="0"/>
        <w:spacing w:line="360" w:lineRule="auto"/>
        <w:ind w:firstLine="570"/>
        <w:rPr>
          <w:rFonts w:ascii="仿宋" w:hAnsi="仿宋" w:eastAsia="仿宋" w:cs="仿宋"/>
          <w:color w:val="auto"/>
          <w:sz w:val="24"/>
          <w:highlight w:val="none"/>
        </w:rPr>
      </w:pPr>
      <w:r>
        <w:rPr>
          <w:rFonts w:hint="eastAsia" w:ascii="仿宋" w:hAnsi="仿宋" w:eastAsia="仿宋" w:cs="仿宋"/>
          <w:color w:val="auto"/>
          <w:sz w:val="24"/>
          <w:highlight w:val="none"/>
        </w:rPr>
        <w:t xml:space="preserve">电  话：               电  话：     </w:t>
      </w:r>
    </w:p>
    <w:p>
      <w:pPr>
        <w:snapToGrid w:val="0"/>
        <w:spacing w:line="360" w:lineRule="auto"/>
        <w:ind w:firstLine="570"/>
        <w:rPr>
          <w:rFonts w:ascii="仿宋" w:hAnsi="仿宋" w:eastAsia="仿宋" w:cs="仿宋"/>
          <w:color w:val="auto"/>
          <w:sz w:val="24"/>
          <w:highlight w:val="none"/>
        </w:rPr>
      </w:pPr>
      <w:r>
        <w:rPr>
          <w:rFonts w:hint="eastAsia" w:ascii="仿宋" w:hAnsi="仿宋" w:eastAsia="仿宋" w:cs="仿宋"/>
          <w:color w:val="auto"/>
          <w:sz w:val="24"/>
          <w:highlight w:val="none"/>
        </w:rPr>
        <w:t xml:space="preserve">传  真：               传  真：     </w:t>
      </w:r>
    </w:p>
    <w:p>
      <w:pPr>
        <w:snapToGrid w:val="0"/>
        <w:spacing w:line="360" w:lineRule="auto"/>
        <w:ind w:firstLine="570"/>
        <w:rPr>
          <w:rFonts w:ascii="仿宋" w:hAnsi="仿宋" w:eastAsia="仿宋" w:cs="仿宋"/>
          <w:color w:val="auto"/>
          <w:sz w:val="24"/>
          <w:highlight w:val="none"/>
        </w:rPr>
      </w:pPr>
      <w:r>
        <w:rPr>
          <w:rFonts w:hint="eastAsia" w:ascii="仿宋" w:hAnsi="仿宋" w:eastAsia="仿宋" w:cs="仿宋"/>
          <w:color w:val="auto"/>
          <w:sz w:val="24"/>
          <w:highlight w:val="none"/>
        </w:rPr>
        <w:t xml:space="preserve">电子信箱：                             电子信箱：   </w:t>
      </w:r>
    </w:p>
    <w:p>
      <w:pPr>
        <w:snapToGrid w:val="0"/>
        <w:spacing w:line="360" w:lineRule="auto"/>
        <w:ind w:firstLine="570"/>
        <w:rPr>
          <w:rFonts w:ascii="仿宋" w:hAnsi="仿宋" w:eastAsia="仿宋" w:cs="仿宋"/>
          <w:color w:val="auto"/>
          <w:sz w:val="24"/>
          <w:highlight w:val="none"/>
        </w:rPr>
      </w:pPr>
      <w:r>
        <w:rPr>
          <w:rFonts w:hint="eastAsia" w:ascii="仿宋" w:hAnsi="仿宋" w:eastAsia="仿宋" w:cs="仿宋"/>
          <w:color w:val="auto"/>
          <w:sz w:val="24"/>
          <w:highlight w:val="none"/>
        </w:rPr>
        <w:t xml:space="preserve">开户银行：               开户银行：   </w:t>
      </w:r>
    </w:p>
    <w:p>
      <w:pPr>
        <w:snapToGrid w:val="0"/>
        <w:spacing w:line="360" w:lineRule="auto"/>
        <w:ind w:firstLine="570"/>
        <w:rPr>
          <w:rFonts w:ascii="仿宋" w:hAnsi="仿宋" w:eastAsia="仿宋" w:cs="仿宋"/>
          <w:color w:val="auto"/>
          <w:sz w:val="24"/>
          <w:highlight w:val="none"/>
        </w:rPr>
      </w:pPr>
      <w:r>
        <w:rPr>
          <w:rFonts w:hint="eastAsia" w:ascii="仿宋" w:hAnsi="仿宋" w:eastAsia="仿宋" w:cs="仿宋"/>
          <w:color w:val="auto"/>
          <w:sz w:val="24"/>
          <w:highlight w:val="none"/>
        </w:rPr>
        <w:t xml:space="preserve">账  号：                   账  号：    </w:t>
      </w:r>
    </w:p>
    <w:p>
      <w:pPr>
        <w:pStyle w:val="54"/>
        <w:ind w:left="0" w:leftChars="0"/>
        <w:rPr>
          <w:rFonts w:ascii="仿宋" w:hAnsi="仿宋" w:eastAsia="仿宋" w:cs="仿宋"/>
          <w:b/>
          <w:bCs/>
          <w:color w:val="auto"/>
          <w:sz w:val="24"/>
          <w:highlight w:val="none"/>
        </w:rPr>
      </w:pPr>
    </w:p>
    <w:p>
      <w:pPr>
        <w:rPr>
          <w:rFonts w:ascii="仿宋" w:hAnsi="仿宋" w:eastAsia="仿宋" w:cs="仿宋"/>
          <w:b/>
          <w:bCs/>
          <w:color w:val="auto"/>
          <w:sz w:val="24"/>
          <w:highlight w:val="none"/>
        </w:rPr>
      </w:pPr>
    </w:p>
    <w:p>
      <w:pPr>
        <w:pStyle w:val="34"/>
        <w:snapToGrid w:val="0"/>
        <w:spacing w:line="360" w:lineRule="auto"/>
        <w:jc w:val="center"/>
        <w:rPr>
          <w:rFonts w:ascii="仿宋" w:hAnsi="仿宋" w:eastAsia="仿宋" w:cs="仿宋"/>
          <w:b/>
          <w:bCs/>
          <w:color w:val="auto"/>
          <w:sz w:val="24"/>
          <w:szCs w:val="24"/>
          <w:highlight w:val="none"/>
        </w:rPr>
        <w:sectPr>
          <w:headerReference r:id="rId8" w:type="default"/>
          <w:footerReference r:id="rId9" w:type="default"/>
          <w:pgSz w:w="11906" w:h="16838"/>
          <w:pgMar w:top="1276" w:right="1417" w:bottom="1276" w:left="1417" w:header="851" w:footer="992" w:gutter="0"/>
          <w:cols w:space="720" w:num="1"/>
          <w:docGrid w:type="lines" w:linePitch="325" w:charSpace="0"/>
        </w:sectPr>
      </w:pPr>
    </w:p>
    <w:p>
      <w:pPr>
        <w:pStyle w:val="54"/>
        <w:ind w:left="2520"/>
        <w:rPr>
          <w:rFonts w:ascii="仿宋" w:hAnsi="仿宋" w:eastAsia="仿宋" w:cs="仿宋"/>
          <w:color w:val="auto"/>
          <w:sz w:val="24"/>
          <w:highlight w:val="none"/>
        </w:rPr>
      </w:pPr>
    </w:p>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 xml:space="preserve"> 第二部分 通用条款（略)</w:t>
      </w:r>
      <w:bookmarkStart w:id="406" w:name="_Toc10977"/>
      <w:bookmarkEnd w:id="406"/>
    </w:p>
    <w:p>
      <w:pPr>
        <w:pStyle w:val="34"/>
        <w:snapToGrid w:val="0"/>
        <w:spacing w:line="360" w:lineRule="auto"/>
        <w:jc w:val="center"/>
        <w:rPr>
          <w:rFonts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按照建设部及国家工商行政管理局制定的&lt;&lt;建设工程施工合同&gt;&gt;(GF-2017-0201)执行</w:t>
      </w:r>
    </w:p>
    <w:p>
      <w:pPr>
        <w:spacing w:line="360" w:lineRule="auto"/>
        <w:jc w:val="center"/>
        <w:rPr>
          <w:rFonts w:ascii="仿宋" w:hAnsi="仿宋" w:eastAsia="仿宋" w:cs="仿宋"/>
          <w:b/>
          <w:color w:val="auto"/>
          <w:sz w:val="24"/>
          <w:highlight w:val="none"/>
        </w:rPr>
      </w:pPr>
      <w:r>
        <w:rPr>
          <w:rFonts w:hint="eastAsia" w:ascii="仿宋" w:hAnsi="仿宋" w:eastAsia="仿宋" w:cs="仿宋"/>
          <w:b/>
          <w:bCs/>
          <w:color w:val="auto"/>
          <w:sz w:val="24"/>
          <w:highlight w:val="none"/>
        </w:rPr>
        <w:br w:type="page"/>
      </w:r>
      <w:r>
        <w:rPr>
          <w:rFonts w:hint="eastAsia" w:ascii="仿宋" w:hAnsi="仿宋" w:eastAsia="仿宋" w:cs="仿宋"/>
          <w:b/>
          <w:color w:val="auto"/>
          <w:sz w:val="24"/>
          <w:highlight w:val="none"/>
        </w:rPr>
        <w:t>第三部分 专用合同条款</w:t>
      </w:r>
    </w:p>
    <w:p>
      <w:pPr>
        <w:pStyle w:val="9"/>
        <w:spacing w:line="360" w:lineRule="auto"/>
        <w:rPr>
          <w:rFonts w:ascii="仿宋" w:hAnsi="仿宋" w:eastAsia="仿宋" w:cs="仿宋"/>
          <w:color w:val="auto"/>
          <w:highlight w:val="none"/>
        </w:rPr>
      </w:pPr>
      <w:bookmarkStart w:id="407" w:name="_Toc2793"/>
      <w:bookmarkEnd w:id="407"/>
      <w:r>
        <w:rPr>
          <w:rFonts w:hint="eastAsia" w:ascii="仿宋" w:hAnsi="仿宋" w:eastAsia="仿宋" w:cs="仿宋"/>
          <w:color w:val="auto"/>
          <w:highlight w:val="none"/>
        </w:rPr>
        <w:t>1. 一般约定</w:t>
      </w:r>
    </w:p>
    <w:p>
      <w:pPr>
        <w:spacing w:after="120" w:line="360" w:lineRule="auto"/>
        <w:ind w:firstLine="420" w:firstLineChars="175"/>
        <w:outlineLvl w:val="0"/>
        <w:rPr>
          <w:rFonts w:ascii="仿宋" w:hAnsi="仿宋" w:eastAsia="仿宋" w:cs="仿宋"/>
          <w:color w:val="auto"/>
          <w:sz w:val="24"/>
          <w:highlight w:val="none"/>
        </w:rPr>
      </w:pPr>
      <w:bookmarkStart w:id="408" w:name="_Toc22682"/>
      <w:bookmarkStart w:id="409" w:name="_Toc22182"/>
      <w:r>
        <w:rPr>
          <w:rFonts w:hint="eastAsia" w:ascii="仿宋" w:hAnsi="仿宋" w:eastAsia="仿宋" w:cs="仿宋"/>
          <w:color w:val="auto"/>
          <w:sz w:val="24"/>
          <w:highlight w:val="none"/>
        </w:rPr>
        <w:t>1.1 词语定义</w:t>
      </w:r>
      <w:bookmarkEnd w:id="408"/>
      <w:bookmarkEnd w:id="409"/>
    </w:p>
    <w:p>
      <w:pPr>
        <w:spacing w:line="360" w:lineRule="auto"/>
        <w:ind w:firstLine="420" w:firstLineChars="175"/>
        <w:rPr>
          <w:rFonts w:ascii="仿宋" w:hAnsi="仿宋" w:eastAsia="仿宋" w:cs="仿宋"/>
          <w:color w:val="auto"/>
          <w:sz w:val="24"/>
          <w:highlight w:val="none"/>
        </w:rPr>
      </w:pPr>
      <w:r>
        <w:rPr>
          <w:rFonts w:hint="eastAsia" w:ascii="仿宋" w:hAnsi="仿宋" w:eastAsia="仿宋" w:cs="仿宋"/>
          <w:color w:val="auto"/>
          <w:sz w:val="24"/>
          <w:highlight w:val="none"/>
        </w:rPr>
        <w:t>1.1.1合同</w:t>
      </w:r>
    </w:p>
    <w:p>
      <w:pPr>
        <w:spacing w:line="360" w:lineRule="auto"/>
        <w:ind w:firstLine="420" w:firstLineChars="175"/>
        <w:rPr>
          <w:rFonts w:ascii="仿宋" w:hAnsi="仿宋" w:eastAsia="仿宋" w:cs="仿宋"/>
          <w:color w:val="auto"/>
          <w:sz w:val="24"/>
          <w:highlight w:val="none"/>
        </w:rPr>
      </w:pPr>
      <w:r>
        <w:rPr>
          <w:rFonts w:hint="eastAsia" w:ascii="仿宋" w:hAnsi="仿宋" w:eastAsia="仿宋" w:cs="仿宋"/>
          <w:color w:val="auto"/>
          <w:sz w:val="24"/>
          <w:highlight w:val="none"/>
        </w:rPr>
        <w:t>1.1.1.10其他合同文件包括：</w:t>
      </w:r>
    </w:p>
    <w:p>
      <w:pPr>
        <w:shd w:val="clear" w:color="auto" w:fill="FAFAFA"/>
        <w:spacing w:line="360" w:lineRule="auto"/>
        <w:ind w:firstLine="426" w:firstLineChars="177"/>
        <w:rPr>
          <w:rFonts w:ascii="仿宋" w:hAnsi="仿宋" w:eastAsia="仿宋" w:cs="仿宋"/>
          <w:b/>
          <w:color w:val="auto"/>
          <w:sz w:val="24"/>
          <w:highlight w:val="none"/>
          <w:u w:val="single"/>
        </w:rPr>
      </w:pPr>
      <w:r>
        <w:rPr>
          <w:rFonts w:hint="eastAsia" w:ascii="仿宋" w:hAnsi="仿宋" w:eastAsia="仿宋" w:cs="仿宋"/>
          <w:b/>
          <w:color w:val="auto"/>
          <w:sz w:val="24"/>
          <w:highlight w:val="none"/>
          <w:u w:val="single"/>
        </w:rPr>
        <w:t xml:space="preserve"> 施工组织设计：施工组织</w:t>
      </w:r>
      <w:r>
        <w:rPr>
          <w:color w:val="auto"/>
          <w:highlight w:val="none"/>
        </w:rPr>
        <w:fldChar w:fldCharType="begin"/>
      </w:r>
      <w:r>
        <w:rPr>
          <w:color w:val="auto"/>
          <w:highlight w:val="none"/>
        </w:rPr>
        <w:instrText xml:space="preserve"> HYPERLINK "http://baike.baidu.com/view/14417.htm" \t "_blank" </w:instrText>
      </w:r>
      <w:r>
        <w:rPr>
          <w:color w:val="auto"/>
          <w:highlight w:val="none"/>
        </w:rPr>
        <w:fldChar w:fldCharType="separate"/>
      </w:r>
      <w:r>
        <w:rPr>
          <w:rStyle w:val="77"/>
          <w:rFonts w:hint="eastAsia" w:ascii="仿宋" w:hAnsi="仿宋" w:eastAsia="仿宋" w:cs="仿宋"/>
          <w:color w:val="auto"/>
          <w:sz w:val="24"/>
          <w:szCs w:val="24"/>
          <w:highlight w:val="none"/>
        </w:rPr>
        <w:t>设计</w:t>
      </w:r>
      <w:r>
        <w:rPr>
          <w:rStyle w:val="77"/>
          <w:rFonts w:hint="eastAsia" w:ascii="仿宋" w:hAnsi="仿宋" w:eastAsia="仿宋" w:cs="仿宋"/>
          <w:color w:val="auto"/>
          <w:sz w:val="24"/>
          <w:szCs w:val="24"/>
          <w:highlight w:val="none"/>
        </w:rPr>
        <w:fldChar w:fldCharType="end"/>
      </w:r>
      <w:r>
        <w:rPr>
          <w:rFonts w:hint="eastAsia" w:ascii="仿宋" w:hAnsi="仿宋" w:eastAsia="仿宋" w:cs="仿宋"/>
          <w:b/>
          <w:color w:val="auto"/>
          <w:sz w:val="24"/>
          <w:highlight w:val="none"/>
          <w:u w:val="single"/>
        </w:rPr>
        <w:t>是用来指导</w:t>
      </w:r>
      <w:r>
        <w:rPr>
          <w:color w:val="auto"/>
          <w:highlight w:val="none"/>
        </w:rPr>
        <w:fldChar w:fldCharType="begin"/>
      </w:r>
      <w:r>
        <w:rPr>
          <w:color w:val="auto"/>
          <w:highlight w:val="none"/>
        </w:rPr>
        <w:instrText xml:space="preserve"> HYPERLINK "http://baike.baidu.com/view/1094820.htm" \t "_blank" </w:instrText>
      </w:r>
      <w:r>
        <w:rPr>
          <w:color w:val="auto"/>
          <w:highlight w:val="none"/>
        </w:rPr>
        <w:fldChar w:fldCharType="separate"/>
      </w:r>
      <w:r>
        <w:rPr>
          <w:rStyle w:val="77"/>
          <w:rFonts w:hint="eastAsia" w:ascii="仿宋" w:hAnsi="仿宋" w:eastAsia="仿宋" w:cs="仿宋"/>
          <w:color w:val="auto"/>
          <w:sz w:val="24"/>
          <w:szCs w:val="24"/>
          <w:highlight w:val="none"/>
        </w:rPr>
        <w:t>施工项目</w:t>
      </w:r>
      <w:r>
        <w:rPr>
          <w:rStyle w:val="77"/>
          <w:rFonts w:hint="eastAsia" w:ascii="仿宋" w:hAnsi="仿宋" w:eastAsia="仿宋" w:cs="仿宋"/>
          <w:color w:val="auto"/>
          <w:sz w:val="24"/>
          <w:szCs w:val="24"/>
          <w:highlight w:val="none"/>
        </w:rPr>
        <w:fldChar w:fldCharType="end"/>
      </w:r>
      <w:r>
        <w:rPr>
          <w:rFonts w:hint="eastAsia" w:ascii="仿宋" w:hAnsi="仿宋" w:eastAsia="仿宋" w:cs="仿宋"/>
          <w:b/>
          <w:color w:val="auto"/>
          <w:sz w:val="24"/>
          <w:highlight w:val="none"/>
          <w:u w:val="single"/>
        </w:rPr>
        <w:t>全过程各项活动的技术、经济和组织的综合性文件。</w:t>
      </w:r>
    </w:p>
    <w:p>
      <w:pPr>
        <w:spacing w:line="360" w:lineRule="auto"/>
        <w:ind w:firstLine="480" w:firstLineChars="200"/>
        <w:outlineLvl w:val="0"/>
        <w:rPr>
          <w:rFonts w:ascii="仿宋" w:hAnsi="仿宋" w:eastAsia="仿宋" w:cs="仿宋"/>
          <w:color w:val="auto"/>
          <w:sz w:val="24"/>
          <w:highlight w:val="none"/>
        </w:rPr>
      </w:pPr>
      <w:bookmarkStart w:id="410" w:name="_Toc32417"/>
      <w:bookmarkStart w:id="411" w:name="_Toc23019"/>
      <w:r>
        <w:rPr>
          <w:rFonts w:hint="eastAsia" w:ascii="仿宋" w:hAnsi="仿宋" w:eastAsia="仿宋" w:cs="仿宋"/>
          <w:color w:val="auto"/>
          <w:sz w:val="24"/>
          <w:highlight w:val="none"/>
        </w:rPr>
        <w:t>1.1.2 合同当事人及其他相关方</w:t>
      </w:r>
      <w:bookmarkEnd w:id="410"/>
      <w:bookmarkEnd w:id="411"/>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1.1.2.4监理人：</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名    称：</w:t>
      </w:r>
      <w:r>
        <w:rPr>
          <w:rFonts w:hint="eastAsia" w:ascii="仿宋" w:hAnsi="仿宋" w:eastAsia="仿宋" w:cs="仿宋"/>
          <w:color w:val="auto"/>
          <w:sz w:val="24"/>
          <w:highlight w:val="none"/>
          <w:u w:val="single"/>
        </w:rPr>
        <w:t xml:space="preserve">                </w:t>
      </w:r>
      <w:r>
        <w:rPr>
          <w:rFonts w:hint="eastAsia" w:ascii="仿宋" w:hAnsi="仿宋" w:eastAsia="仿宋" w:cs="仿宋"/>
          <w:color w:val="auto"/>
          <w:sz w:val="24"/>
          <w:highlight w:val="none"/>
        </w:rPr>
        <w:t>；</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资质类别和等级：</w:t>
      </w:r>
      <w:r>
        <w:rPr>
          <w:rFonts w:hint="eastAsia" w:ascii="仿宋" w:hAnsi="仿宋" w:eastAsia="仿宋" w:cs="仿宋"/>
          <w:color w:val="auto"/>
          <w:sz w:val="24"/>
          <w:highlight w:val="none"/>
          <w:u w:val="single"/>
        </w:rPr>
        <w:t>               </w:t>
      </w:r>
      <w:r>
        <w:rPr>
          <w:rFonts w:hint="eastAsia" w:ascii="仿宋" w:hAnsi="仿宋" w:eastAsia="仿宋" w:cs="仿宋"/>
          <w:color w:val="auto"/>
          <w:sz w:val="24"/>
          <w:highlight w:val="none"/>
        </w:rPr>
        <w:t>；</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single"/>
        </w:rPr>
        <w:t>                </w:t>
      </w:r>
      <w:r>
        <w:rPr>
          <w:rFonts w:hint="eastAsia" w:ascii="仿宋" w:hAnsi="仿宋" w:eastAsia="仿宋" w:cs="仿宋"/>
          <w:color w:val="auto"/>
          <w:sz w:val="24"/>
          <w:highlight w:val="none"/>
        </w:rPr>
        <w:t>；</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电子信箱：</w:t>
      </w:r>
      <w:r>
        <w:rPr>
          <w:rFonts w:hint="eastAsia" w:ascii="仿宋" w:hAnsi="仿宋" w:eastAsia="仿宋" w:cs="仿宋"/>
          <w:color w:val="auto"/>
          <w:sz w:val="24"/>
          <w:highlight w:val="none"/>
          <w:u w:val="single"/>
        </w:rPr>
        <w:t>                </w:t>
      </w:r>
      <w:r>
        <w:rPr>
          <w:rFonts w:hint="eastAsia" w:ascii="仿宋" w:hAnsi="仿宋" w:eastAsia="仿宋" w:cs="仿宋"/>
          <w:color w:val="auto"/>
          <w:sz w:val="24"/>
          <w:highlight w:val="none"/>
        </w:rPr>
        <w:t>；</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通信地址：</w:t>
      </w:r>
      <w:r>
        <w:rPr>
          <w:rFonts w:hint="eastAsia" w:ascii="仿宋" w:hAnsi="仿宋" w:eastAsia="仿宋" w:cs="仿宋"/>
          <w:color w:val="auto"/>
          <w:sz w:val="24"/>
          <w:highlight w:val="none"/>
          <w:u w:val="single"/>
        </w:rPr>
        <w:t>                </w:t>
      </w:r>
      <w:r>
        <w:rPr>
          <w:rFonts w:hint="eastAsia" w:ascii="仿宋" w:hAnsi="仿宋" w:eastAsia="仿宋" w:cs="仿宋"/>
          <w:color w:val="auto"/>
          <w:sz w:val="24"/>
          <w:highlight w:val="none"/>
        </w:rPr>
        <w:t>。</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1.1.2.5 设计人：</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名    称：</w:t>
      </w:r>
      <w:r>
        <w:rPr>
          <w:rFonts w:hint="eastAsia" w:ascii="仿宋" w:hAnsi="仿宋" w:eastAsia="仿宋" w:cs="仿宋"/>
          <w:color w:val="auto"/>
          <w:sz w:val="24"/>
          <w:highlight w:val="none"/>
          <w:u w:val="single"/>
        </w:rPr>
        <w:t xml:space="preserve">                 </w:t>
      </w:r>
      <w:r>
        <w:rPr>
          <w:rFonts w:hint="eastAsia" w:ascii="仿宋" w:hAnsi="仿宋" w:eastAsia="仿宋" w:cs="仿宋"/>
          <w:color w:val="auto"/>
          <w:sz w:val="24"/>
          <w:highlight w:val="none"/>
        </w:rPr>
        <w:t>；</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资质类别和等级：</w:t>
      </w:r>
      <w:r>
        <w:rPr>
          <w:rFonts w:hint="eastAsia" w:ascii="仿宋" w:hAnsi="仿宋" w:eastAsia="仿宋" w:cs="仿宋"/>
          <w:color w:val="auto"/>
          <w:sz w:val="24"/>
          <w:highlight w:val="none"/>
          <w:u w:val="single"/>
        </w:rPr>
        <w:t>               </w:t>
      </w:r>
      <w:r>
        <w:rPr>
          <w:rFonts w:hint="eastAsia" w:ascii="仿宋" w:hAnsi="仿宋" w:eastAsia="仿宋" w:cs="仿宋"/>
          <w:color w:val="auto"/>
          <w:sz w:val="24"/>
          <w:highlight w:val="none"/>
        </w:rPr>
        <w:t>；</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single"/>
        </w:rPr>
        <w:t>                 </w:t>
      </w:r>
      <w:r>
        <w:rPr>
          <w:rFonts w:hint="eastAsia" w:ascii="仿宋" w:hAnsi="仿宋" w:eastAsia="仿宋" w:cs="仿宋"/>
          <w:color w:val="auto"/>
          <w:sz w:val="24"/>
          <w:highlight w:val="none"/>
        </w:rPr>
        <w:t>；</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电子信箱：</w:t>
      </w:r>
      <w:r>
        <w:rPr>
          <w:rFonts w:hint="eastAsia" w:ascii="仿宋" w:hAnsi="仿宋" w:eastAsia="仿宋" w:cs="仿宋"/>
          <w:color w:val="auto"/>
          <w:sz w:val="24"/>
          <w:highlight w:val="none"/>
          <w:u w:val="single"/>
        </w:rPr>
        <w:t xml:space="preserve">                    </w:t>
      </w:r>
      <w:r>
        <w:rPr>
          <w:rFonts w:hint="eastAsia" w:ascii="仿宋" w:hAnsi="仿宋" w:eastAsia="仿宋" w:cs="仿宋"/>
          <w:color w:val="auto"/>
          <w:sz w:val="24"/>
          <w:highlight w:val="none"/>
        </w:rPr>
        <w:t>；</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通信地址：</w:t>
      </w:r>
      <w:r>
        <w:rPr>
          <w:rFonts w:hint="eastAsia" w:ascii="仿宋" w:hAnsi="仿宋" w:eastAsia="仿宋" w:cs="仿宋"/>
          <w:color w:val="auto"/>
          <w:sz w:val="24"/>
          <w:highlight w:val="none"/>
          <w:u w:val="single"/>
        </w:rPr>
        <w:t>                </w:t>
      </w:r>
      <w:r>
        <w:rPr>
          <w:rFonts w:hint="eastAsia" w:ascii="仿宋" w:hAnsi="仿宋" w:eastAsia="仿宋" w:cs="仿宋"/>
          <w:color w:val="auto"/>
          <w:sz w:val="24"/>
          <w:highlight w:val="none"/>
        </w:rPr>
        <w:t>。</w:t>
      </w:r>
    </w:p>
    <w:p>
      <w:pPr>
        <w:spacing w:line="360" w:lineRule="auto"/>
        <w:ind w:firstLine="480" w:firstLineChars="200"/>
        <w:outlineLvl w:val="0"/>
        <w:rPr>
          <w:rFonts w:ascii="仿宋" w:hAnsi="仿宋" w:eastAsia="仿宋" w:cs="仿宋"/>
          <w:color w:val="auto"/>
          <w:sz w:val="24"/>
          <w:highlight w:val="none"/>
        </w:rPr>
      </w:pPr>
      <w:bookmarkStart w:id="412" w:name="_Toc32507"/>
      <w:bookmarkStart w:id="413" w:name="_Toc26122"/>
      <w:r>
        <w:rPr>
          <w:rFonts w:hint="eastAsia" w:ascii="仿宋" w:hAnsi="仿宋" w:eastAsia="仿宋" w:cs="仿宋"/>
          <w:color w:val="auto"/>
          <w:sz w:val="24"/>
          <w:highlight w:val="none"/>
        </w:rPr>
        <w:t>1.1.3 工程和设备</w:t>
      </w:r>
      <w:bookmarkEnd w:id="412"/>
      <w:bookmarkEnd w:id="413"/>
    </w:p>
    <w:p>
      <w:pPr>
        <w:spacing w:line="360" w:lineRule="auto"/>
        <w:ind w:firstLine="480" w:firstLineChars="200"/>
        <w:rPr>
          <w:rFonts w:ascii="仿宋" w:hAnsi="仿宋" w:eastAsia="仿宋" w:cs="仿宋"/>
          <w:color w:val="auto"/>
          <w:sz w:val="24"/>
          <w:highlight w:val="none"/>
          <w:u w:val="single"/>
        </w:rPr>
      </w:pPr>
      <w:r>
        <w:rPr>
          <w:rFonts w:hint="eastAsia" w:ascii="仿宋" w:hAnsi="仿宋" w:eastAsia="仿宋" w:cs="仿宋"/>
          <w:color w:val="auto"/>
          <w:sz w:val="24"/>
          <w:highlight w:val="none"/>
        </w:rPr>
        <w:t>1.1.3.7 作为施工现场组成部分的其他场所包括：</w:t>
      </w:r>
      <w:r>
        <w:rPr>
          <w:rFonts w:hint="eastAsia" w:ascii="仿宋" w:hAnsi="仿宋" w:eastAsia="仿宋" w:cs="仿宋"/>
          <w:color w:val="auto"/>
          <w:sz w:val="24"/>
          <w:highlight w:val="none"/>
          <w:u w:val="single"/>
        </w:rPr>
        <w:t>由发包人确定</w:t>
      </w:r>
      <w:r>
        <w:rPr>
          <w:rFonts w:hint="eastAsia" w:ascii="仿宋" w:hAnsi="仿宋" w:eastAsia="仿宋" w:cs="仿宋"/>
          <w:color w:val="auto"/>
          <w:sz w:val="24"/>
          <w:highlight w:val="none"/>
        </w:rPr>
        <w:t>。</w:t>
      </w:r>
    </w:p>
    <w:p>
      <w:pPr>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1.1.3.9 永久占地包括：</w:t>
      </w:r>
      <w:r>
        <w:rPr>
          <w:rFonts w:hint="eastAsia" w:ascii="仿宋" w:hAnsi="仿宋" w:eastAsia="仿宋" w:cs="仿宋"/>
          <w:color w:val="auto"/>
          <w:sz w:val="24"/>
          <w:highlight w:val="none"/>
          <w:u w:val="single"/>
        </w:rPr>
        <w:t>规划红线范围内为实施本合同工程需永久占用的土地</w:t>
      </w:r>
      <w:r>
        <w:rPr>
          <w:rFonts w:hint="eastAsia" w:ascii="仿宋" w:hAnsi="仿宋" w:eastAsia="仿宋" w:cs="仿宋"/>
          <w:color w:val="auto"/>
          <w:sz w:val="24"/>
          <w:highlight w:val="none"/>
        </w:rPr>
        <w:t>。</w:t>
      </w:r>
    </w:p>
    <w:p>
      <w:pPr>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1.1.3.10 临时占地包括：</w:t>
      </w:r>
      <w:r>
        <w:rPr>
          <w:rFonts w:hint="eastAsia" w:ascii="仿宋" w:hAnsi="仿宋" w:eastAsia="仿宋" w:cs="仿宋"/>
          <w:color w:val="auto"/>
          <w:sz w:val="24"/>
          <w:highlight w:val="none"/>
          <w:u w:val="single"/>
        </w:rPr>
        <w:t>指永久占地之外为实施合同工程需临时占用的土地</w:t>
      </w:r>
      <w:r>
        <w:rPr>
          <w:rFonts w:hint="eastAsia" w:ascii="仿宋" w:hAnsi="仿宋" w:eastAsia="仿宋" w:cs="仿宋"/>
          <w:color w:val="auto"/>
          <w:sz w:val="24"/>
          <w:highlight w:val="none"/>
        </w:rPr>
        <w:t>。</w:t>
      </w:r>
    </w:p>
    <w:p>
      <w:pPr>
        <w:spacing w:after="12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1.3法律 </w:t>
      </w:r>
    </w:p>
    <w:p>
      <w:pPr>
        <w:autoSpaceDE w:val="0"/>
        <w:autoSpaceDN w:val="0"/>
        <w:spacing w:line="360" w:lineRule="auto"/>
        <w:ind w:left="596" w:leftChars="284"/>
        <w:jc w:val="left"/>
        <w:rPr>
          <w:rFonts w:ascii="仿宋" w:hAnsi="仿宋" w:eastAsia="仿宋" w:cs="仿宋"/>
          <w:color w:val="auto"/>
          <w:sz w:val="24"/>
          <w:highlight w:val="none"/>
        </w:rPr>
      </w:pPr>
      <w:r>
        <w:rPr>
          <w:rFonts w:hint="eastAsia" w:ascii="仿宋" w:hAnsi="仿宋" w:eastAsia="仿宋" w:cs="仿宋"/>
          <w:color w:val="auto"/>
          <w:sz w:val="24"/>
          <w:highlight w:val="none"/>
        </w:rPr>
        <w:t>适用于合同的其他规范性文件：</w:t>
      </w:r>
    </w:p>
    <w:p>
      <w:pPr>
        <w:autoSpaceDE w:val="0"/>
        <w:autoSpaceDN w:val="0"/>
        <w:spacing w:line="360" w:lineRule="auto"/>
        <w:ind w:firstLine="338" w:firstLineChars="141"/>
        <w:jc w:val="left"/>
        <w:rPr>
          <w:rFonts w:ascii="仿宋" w:hAnsi="仿宋" w:eastAsia="仿宋" w:cs="仿宋"/>
          <w:bCs/>
          <w:color w:val="auto"/>
          <w:sz w:val="24"/>
          <w:highlight w:val="none"/>
          <w:u w:val="single"/>
        </w:rPr>
      </w:pPr>
      <w:r>
        <w:rPr>
          <w:rFonts w:hint="eastAsia" w:ascii="仿宋" w:hAnsi="仿宋" w:eastAsia="仿宋" w:cs="仿宋"/>
          <w:bCs/>
          <w:color w:val="auto"/>
          <w:sz w:val="24"/>
          <w:highlight w:val="none"/>
          <w:u w:val="single"/>
        </w:rPr>
        <w:t>（1）《杭州市建设工程工程量清单计价实施细则》（杭建市发[2014]402号）</w:t>
      </w:r>
    </w:p>
    <w:p>
      <w:pPr>
        <w:autoSpaceDE w:val="0"/>
        <w:autoSpaceDN w:val="0"/>
        <w:spacing w:line="360" w:lineRule="auto"/>
        <w:ind w:firstLine="338" w:firstLineChars="141"/>
        <w:jc w:val="left"/>
        <w:rPr>
          <w:rFonts w:ascii="仿宋" w:hAnsi="仿宋" w:eastAsia="仿宋" w:cs="仿宋"/>
          <w:bCs/>
          <w:color w:val="auto"/>
          <w:sz w:val="24"/>
          <w:highlight w:val="none"/>
          <w:u w:val="single"/>
        </w:rPr>
      </w:pPr>
      <w:r>
        <w:rPr>
          <w:rFonts w:hint="eastAsia" w:ascii="仿宋" w:hAnsi="仿宋" w:eastAsia="仿宋" w:cs="仿宋"/>
          <w:bCs/>
          <w:color w:val="auto"/>
          <w:sz w:val="24"/>
          <w:highlight w:val="none"/>
          <w:u w:val="single"/>
        </w:rPr>
        <w:t>（2）《关于进一步加强建筑施工领域企业安全生产工作的实施意见》的通知 （杭建工发〔2011〕130号）</w:t>
      </w:r>
    </w:p>
    <w:p>
      <w:pPr>
        <w:autoSpaceDE w:val="0"/>
        <w:autoSpaceDN w:val="0"/>
        <w:spacing w:line="360" w:lineRule="auto"/>
        <w:ind w:firstLine="338" w:firstLineChars="141"/>
        <w:jc w:val="left"/>
        <w:rPr>
          <w:rFonts w:ascii="仿宋" w:hAnsi="仿宋" w:eastAsia="仿宋" w:cs="仿宋"/>
          <w:bCs/>
          <w:color w:val="auto"/>
          <w:sz w:val="24"/>
          <w:highlight w:val="none"/>
          <w:u w:val="single"/>
        </w:rPr>
      </w:pPr>
      <w:r>
        <w:rPr>
          <w:rFonts w:hint="eastAsia" w:ascii="仿宋" w:hAnsi="仿宋" w:eastAsia="仿宋" w:cs="仿宋"/>
          <w:bCs/>
          <w:color w:val="auto"/>
          <w:sz w:val="24"/>
          <w:highlight w:val="none"/>
          <w:u w:val="single"/>
        </w:rPr>
        <w:t>（3）《关于进一步加强建设工程安全质量物联网管理应用平台建设的通知》（杭建工发【2012】426号）</w:t>
      </w:r>
    </w:p>
    <w:p>
      <w:pPr>
        <w:autoSpaceDE w:val="0"/>
        <w:autoSpaceDN w:val="0"/>
        <w:spacing w:line="360" w:lineRule="auto"/>
        <w:ind w:firstLine="338" w:firstLineChars="141"/>
        <w:jc w:val="left"/>
        <w:rPr>
          <w:rFonts w:ascii="仿宋" w:hAnsi="仿宋" w:eastAsia="仿宋" w:cs="仿宋"/>
          <w:bCs/>
          <w:color w:val="auto"/>
          <w:sz w:val="24"/>
          <w:highlight w:val="none"/>
          <w:u w:val="single"/>
        </w:rPr>
      </w:pPr>
      <w:r>
        <w:rPr>
          <w:rFonts w:hint="eastAsia" w:ascii="仿宋" w:hAnsi="仿宋" w:eastAsia="仿宋" w:cs="仿宋"/>
          <w:bCs/>
          <w:color w:val="auto"/>
          <w:sz w:val="24"/>
          <w:highlight w:val="none"/>
          <w:u w:val="single"/>
        </w:rPr>
        <w:t>（4）《杭州市人民政府办公厅关于印发杭州市建设工程推广应用预拌砂浆管理办法的通知》（杭政办函（2011）32号）</w:t>
      </w:r>
    </w:p>
    <w:p>
      <w:pPr>
        <w:autoSpaceDE w:val="0"/>
        <w:autoSpaceDN w:val="0"/>
        <w:spacing w:line="360" w:lineRule="auto"/>
        <w:ind w:firstLine="338" w:firstLineChars="141"/>
        <w:jc w:val="left"/>
        <w:rPr>
          <w:rFonts w:ascii="仿宋" w:hAnsi="仿宋" w:eastAsia="仿宋" w:cs="仿宋"/>
          <w:bCs/>
          <w:color w:val="auto"/>
          <w:sz w:val="24"/>
          <w:highlight w:val="none"/>
          <w:u w:val="single"/>
        </w:rPr>
      </w:pPr>
      <w:r>
        <w:rPr>
          <w:rFonts w:hint="eastAsia" w:ascii="仿宋" w:hAnsi="仿宋" w:eastAsia="仿宋" w:cs="仿宋"/>
          <w:bCs/>
          <w:color w:val="auto"/>
          <w:sz w:val="24"/>
          <w:highlight w:val="none"/>
          <w:u w:val="single"/>
        </w:rPr>
        <w:t>（5）《关于落实建筑工棚安装空调事宜的通知》（杭建工发【2011】237号）</w:t>
      </w:r>
    </w:p>
    <w:p>
      <w:pPr>
        <w:autoSpaceDE w:val="0"/>
        <w:autoSpaceDN w:val="0"/>
        <w:spacing w:line="360" w:lineRule="auto"/>
        <w:ind w:firstLine="338" w:firstLineChars="141"/>
        <w:jc w:val="left"/>
        <w:rPr>
          <w:rFonts w:ascii="仿宋" w:hAnsi="仿宋" w:eastAsia="仿宋" w:cs="仿宋"/>
          <w:bCs/>
          <w:color w:val="auto"/>
          <w:sz w:val="24"/>
          <w:highlight w:val="none"/>
          <w:u w:val="single"/>
        </w:rPr>
      </w:pPr>
      <w:r>
        <w:rPr>
          <w:rFonts w:hint="eastAsia" w:ascii="仿宋" w:hAnsi="仿宋" w:eastAsia="仿宋" w:cs="仿宋"/>
          <w:bCs/>
          <w:color w:val="auto"/>
          <w:sz w:val="24"/>
          <w:highlight w:val="none"/>
          <w:u w:val="single"/>
        </w:rPr>
        <w:t>（6）《关于进一步加强杭州市建设工程市场要素价格动态管理的指导意见》（杭建市【2011】198号）</w:t>
      </w:r>
    </w:p>
    <w:p>
      <w:pPr>
        <w:autoSpaceDE w:val="0"/>
        <w:autoSpaceDN w:val="0"/>
        <w:spacing w:line="360" w:lineRule="auto"/>
        <w:ind w:firstLine="338" w:firstLineChars="141"/>
        <w:jc w:val="left"/>
        <w:rPr>
          <w:rFonts w:ascii="仿宋" w:hAnsi="仿宋" w:eastAsia="仿宋" w:cs="仿宋"/>
          <w:bCs/>
          <w:color w:val="auto"/>
          <w:sz w:val="24"/>
          <w:highlight w:val="none"/>
          <w:u w:val="single"/>
        </w:rPr>
      </w:pPr>
      <w:r>
        <w:rPr>
          <w:rFonts w:hint="eastAsia" w:ascii="仿宋" w:hAnsi="仿宋" w:eastAsia="仿宋" w:cs="仿宋"/>
          <w:bCs/>
          <w:color w:val="auto"/>
          <w:sz w:val="24"/>
          <w:highlight w:val="none"/>
          <w:u w:val="single"/>
        </w:rPr>
        <w:t>（7）《关于进一步明确杭州市建设工程优质工程增加费计取规定的通知》（杭建市【2012】240号）</w:t>
      </w:r>
    </w:p>
    <w:p>
      <w:pPr>
        <w:autoSpaceDE w:val="0"/>
        <w:autoSpaceDN w:val="0"/>
        <w:spacing w:line="360" w:lineRule="auto"/>
        <w:ind w:firstLine="338" w:firstLineChars="141"/>
        <w:jc w:val="left"/>
        <w:rPr>
          <w:rFonts w:ascii="仿宋" w:hAnsi="仿宋" w:eastAsia="仿宋" w:cs="仿宋"/>
          <w:bCs/>
          <w:color w:val="auto"/>
          <w:sz w:val="24"/>
          <w:highlight w:val="none"/>
          <w:u w:val="single"/>
        </w:rPr>
      </w:pPr>
      <w:r>
        <w:rPr>
          <w:rFonts w:hint="eastAsia" w:ascii="仿宋" w:hAnsi="仿宋" w:eastAsia="仿宋" w:cs="仿宋"/>
          <w:bCs/>
          <w:color w:val="auto"/>
          <w:sz w:val="24"/>
          <w:highlight w:val="none"/>
          <w:u w:val="single"/>
        </w:rPr>
        <w:t xml:space="preserve">（8）新工艺、新技术的约定：                             </w:t>
      </w:r>
    </w:p>
    <w:p>
      <w:pPr>
        <w:spacing w:line="360" w:lineRule="auto"/>
        <w:ind w:firstLine="465"/>
        <w:rPr>
          <w:rFonts w:ascii="仿宋" w:hAnsi="仿宋" w:eastAsia="仿宋" w:cs="仿宋"/>
          <w:bCs/>
          <w:color w:val="auto"/>
          <w:sz w:val="24"/>
          <w:highlight w:val="none"/>
          <w:u w:val="single"/>
        </w:rPr>
      </w:pPr>
      <w:r>
        <w:rPr>
          <w:rFonts w:hint="eastAsia" w:ascii="仿宋" w:hAnsi="仿宋" w:eastAsia="仿宋" w:cs="仿宋"/>
          <w:bCs/>
          <w:color w:val="auto"/>
          <w:sz w:val="24"/>
          <w:highlight w:val="none"/>
          <w:u w:val="single"/>
        </w:rPr>
        <w:t>（9）其他： 《杭州市建筑市场管理若干规定》（杭州市人民政府令第277号）</w:t>
      </w:r>
    </w:p>
    <w:p>
      <w:pPr>
        <w:spacing w:line="360" w:lineRule="auto"/>
        <w:ind w:firstLine="465"/>
        <w:rPr>
          <w:rFonts w:ascii="仿宋" w:hAnsi="仿宋" w:eastAsia="仿宋" w:cs="仿宋"/>
          <w:bCs/>
          <w:color w:val="auto"/>
          <w:sz w:val="24"/>
          <w:highlight w:val="none"/>
          <w:u w:val="single"/>
        </w:rPr>
      </w:pPr>
      <w:r>
        <w:rPr>
          <w:rFonts w:hint="eastAsia" w:ascii="仿宋" w:hAnsi="仿宋" w:eastAsia="仿宋" w:cs="仿宋"/>
          <w:bCs/>
          <w:color w:val="auto"/>
          <w:sz w:val="24"/>
          <w:highlight w:val="none"/>
          <w:u w:val="single"/>
        </w:rPr>
        <w:t>（10）《杭州市建设工程文明施工管理规定》（杭州市人民政府令第278号）</w:t>
      </w:r>
    </w:p>
    <w:p>
      <w:pPr>
        <w:spacing w:line="360" w:lineRule="auto"/>
        <w:rPr>
          <w:rFonts w:ascii="仿宋" w:hAnsi="仿宋" w:eastAsia="仿宋" w:cs="仿宋"/>
          <w:bCs/>
          <w:color w:val="auto"/>
          <w:sz w:val="24"/>
          <w:highlight w:val="none"/>
          <w:u w:val="single"/>
        </w:rPr>
      </w:pPr>
      <w:r>
        <w:rPr>
          <w:rFonts w:hint="eastAsia" w:ascii="仿宋" w:hAnsi="仿宋" w:eastAsia="仿宋" w:cs="仿宋"/>
          <w:bCs/>
          <w:color w:val="auto"/>
          <w:sz w:val="24"/>
          <w:highlight w:val="none"/>
        </w:rPr>
        <w:t xml:space="preserve">    </w:t>
      </w:r>
      <w:r>
        <w:rPr>
          <w:rFonts w:hint="eastAsia" w:ascii="仿宋" w:hAnsi="仿宋" w:eastAsia="仿宋" w:cs="仿宋"/>
          <w:bCs/>
          <w:color w:val="auto"/>
          <w:sz w:val="24"/>
          <w:highlight w:val="none"/>
          <w:u w:val="single"/>
        </w:rPr>
        <w:t>（11）《杭州市政府投资项目概算管理办法（试行）》（杭发改投资[2013]422号）</w:t>
      </w:r>
    </w:p>
    <w:p>
      <w:pPr>
        <w:spacing w:line="360" w:lineRule="auto"/>
        <w:rPr>
          <w:rFonts w:ascii="仿宋" w:hAnsi="仿宋" w:eastAsia="仿宋" w:cs="仿宋"/>
          <w:bCs/>
          <w:color w:val="auto"/>
          <w:sz w:val="24"/>
          <w:highlight w:val="none"/>
          <w:u w:val="single"/>
        </w:rPr>
      </w:pPr>
      <w:r>
        <w:rPr>
          <w:rFonts w:hint="eastAsia" w:ascii="仿宋" w:hAnsi="仿宋" w:eastAsia="仿宋" w:cs="仿宋"/>
          <w:bCs/>
          <w:color w:val="auto"/>
          <w:sz w:val="24"/>
          <w:highlight w:val="none"/>
        </w:rPr>
        <w:t xml:space="preserve">    </w:t>
      </w:r>
      <w:r>
        <w:rPr>
          <w:rFonts w:hint="eastAsia" w:ascii="仿宋" w:hAnsi="仿宋" w:eastAsia="仿宋" w:cs="仿宋"/>
          <w:bCs/>
          <w:color w:val="auto"/>
          <w:sz w:val="24"/>
          <w:highlight w:val="none"/>
          <w:u w:val="single"/>
        </w:rPr>
        <w:t>（12）</w:t>
      </w:r>
      <w:r>
        <w:rPr>
          <w:rFonts w:hint="eastAsia" w:ascii="仿宋" w:hAnsi="仿宋" w:eastAsia="仿宋" w:cs="仿宋"/>
          <w:color w:val="auto"/>
          <w:sz w:val="24"/>
          <w:highlight w:val="none"/>
          <w:u w:val="single"/>
        </w:rPr>
        <w:t>《杭州市政府投资项目工程变更管理暂行办法》（杭财建[2013]1246号）</w:t>
      </w:r>
    </w:p>
    <w:p>
      <w:pPr>
        <w:spacing w:line="360" w:lineRule="auto"/>
        <w:ind w:firstLine="480"/>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（13）《关于进一步明确本市政府投资项目工程结算审查费用管理相关事项的通知》（杭财基[2014]109号）</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 xml:space="preserve">    （14）《关于明确市本级财政投资项目优质工程增加费计取规定的通知》（杭财建[2013]687号）</w:t>
      </w:r>
    </w:p>
    <w:p>
      <w:pPr>
        <w:autoSpaceDE w:val="0"/>
        <w:autoSpaceDN w:val="0"/>
        <w:spacing w:line="360" w:lineRule="auto"/>
        <w:ind w:left="596" w:leftChars="284"/>
        <w:jc w:val="left"/>
        <w:rPr>
          <w:rFonts w:ascii="仿宋" w:hAnsi="仿宋" w:eastAsia="仿宋" w:cs="仿宋"/>
          <w:color w:val="auto"/>
          <w:sz w:val="24"/>
          <w:highlight w:val="none"/>
        </w:rPr>
      </w:pPr>
      <w:r>
        <w:rPr>
          <w:rFonts w:hint="eastAsia" w:ascii="仿宋" w:hAnsi="仿宋" w:eastAsia="仿宋" w:cs="仿宋"/>
          <w:color w:val="auto"/>
          <w:sz w:val="24"/>
          <w:highlight w:val="none"/>
        </w:rPr>
        <w:t>1.4 标准和规范</w:t>
      </w:r>
    </w:p>
    <w:p>
      <w:pPr>
        <w:autoSpaceDE w:val="0"/>
        <w:autoSpaceDN w:val="0"/>
        <w:spacing w:line="360" w:lineRule="auto"/>
        <w:ind w:left="411" w:leftChars="21" w:hanging="367" w:hangingChars="153"/>
        <w:jc w:val="left"/>
        <w:rPr>
          <w:rFonts w:ascii="仿宋" w:hAnsi="仿宋" w:eastAsia="仿宋" w:cs="仿宋"/>
          <w:color w:val="auto"/>
          <w:sz w:val="24"/>
          <w:highlight w:val="none"/>
        </w:rPr>
      </w:pPr>
      <w:r>
        <w:rPr>
          <w:rFonts w:hint="eastAsia" w:ascii="仿宋" w:hAnsi="仿宋" w:eastAsia="仿宋" w:cs="仿宋"/>
          <w:color w:val="auto"/>
          <w:sz w:val="24"/>
          <w:highlight w:val="none"/>
        </w:rPr>
        <w:t xml:space="preserve">    1.4.1 适用于工程的标准规范包括：</w:t>
      </w:r>
      <w:r>
        <w:rPr>
          <w:rFonts w:hint="eastAsia" w:ascii="仿宋" w:hAnsi="仿宋" w:eastAsia="仿宋" w:cs="仿宋"/>
          <w:color w:val="auto"/>
          <w:sz w:val="24"/>
          <w:highlight w:val="none"/>
          <w:u w:val="single"/>
        </w:rPr>
        <w:t xml:space="preserve">（1）按通用条款约定； </w:t>
      </w:r>
      <w:r>
        <w:rPr>
          <w:rFonts w:hint="eastAsia" w:ascii="仿宋" w:hAnsi="仿宋" w:eastAsia="仿宋" w:cs="仿宋"/>
          <w:b/>
          <w:color w:val="auto"/>
          <w:sz w:val="24"/>
          <w:highlight w:val="none"/>
          <w:u w:val="single"/>
        </w:rPr>
        <w:t xml:space="preserve">    </w:t>
      </w:r>
    </w:p>
    <w:p>
      <w:pPr>
        <w:spacing w:line="360" w:lineRule="auto"/>
        <w:ind w:firstLine="480" w:firstLineChars="200"/>
        <w:rPr>
          <w:rFonts w:ascii="仿宋" w:hAnsi="仿宋" w:eastAsia="仿宋" w:cs="仿宋"/>
          <w:color w:val="auto"/>
          <w:sz w:val="24"/>
          <w:highlight w:val="none"/>
          <w:u w:val="single"/>
        </w:rPr>
      </w:pPr>
      <w:r>
        <w:rPr>
          <w:rFonts w:hint="eastAsia" w:ascii="仿宋" w:hAnsi="仿宋" w:eastAsia="仿宋" w:cs="仿宋"/>
          <w:color w:val="auto"/>
          <w:sz w:val="24"/>
          <w:highlight w:val="none"/>
        </w:rPr>
        <w:t>1.4.2 发包人提供国外标准、规范的名称：</w:t>
      </w:r>
      <w:r>
        <w:rPr>
          <w:rFonts w:hint="eastAsia" w:ascii="仿宋" w:hAnsi="仿宋" w:eastAsia="仿宋" w:cs="仿宋"/>
          <w:color w:val="auto"/>
          <w:sz w:val="24"/>
          <w:highlight w:val="none"/>
          <w:u w:val="single"/>
        </w:rPr>
        <w:t xml:space="preserve">  详见设计文件</w:t>
      </w:r>
      <w:r>
        <w:rPr>
          <w:rFonts w:hint="eastAsia" w:ascii="仿宋" w:hAnsi="仿宋" w:eastAsia="仿宋" w:cs="仿宋"/>
          <w:color w:val="auto"/>
          <w:sz w:val="24"/>
          <w:highlight w:val="none"/>
        </w:rPr>
        <w:t>；</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发包人提供国外标准、规范的份数：</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rPr>
        <w:t>；</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发包人提供国外标准、规范的名称：</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rPr>
        <w:t>。</w:t>
      </w:r>
    </w:p>
    <w:p>
      <w:pPr>
        <w:snapToGrid w:val="0"/>
        <w:spacing w:line="360" w:lineRule="auto"/>
        <w:ind w:left="319" w:leftChars="152"/>
        <w:rPr>
          <w:rFonts w:ascii="仿宋" w:hAnsi="仿宋" w:eastAsia="仿宋" w:cs="仿宋"/>
          <w:color w:val="auto"/>
          <w:sz w:val="24"/>
          <w:highlight w:val="none"/>
          <w:u w:val="single"/>
        </w:rPr>
      </w:pPr>
      <w:r>
        <w:rPr>
          <w:rFonts w:hint="eastAsia" w:ascii="仿宋" w:hAnsi="仿宋" w:eastAsia="仿宋" w:cs="仿宋"/>
          <w:color w:val="auto"/>
          <w:sz w:val="24"/>
          <w:highlight w:val="none"/>
        </w:rPr>
        <w:t>1.4.3发包人对工程的技术标准和功能要求的特殊要求：</w:t>
      </w:r>
      <w:r>
        <w:rPr>
          <w:rFonts w:hint="eastAsia" w:ascii="仿宋" w:hAnsi="仿宋" w:eastAsia="仿宋" w:cs="仿宋"/>
          <w:color w:val="auto"/>
          <w:sz w:val="24"/>
          <w:highlight w:val="none"/>
          <w:u w:val="single"/>
        </w:rPr>
        <w:t>详见设计文件和招标技术要求。</w:t>
      </w:r>
    </w:p>
    <w:p>
      <w:pPr>
        <w:autoSpaceDE w:val="0"/>
        <w:autoSpaceDN w:val="0"/>
        <w:spacing w:line="360" w:lineRule="auto"/>
        <w:ind w:left="596" w:leftChars="284"/>
        <w:jc w:val="left"/>
        <w:rPr>
          <w:rFonts w:ascii="仿宋" w:hAnsi="仿宋" w:eastAsia="仿宋" w:cs="仿宋"/>
          <w:color w:val="auto"/>
          <w:sz w:val="24"/>
          <w:highlight w:val="none"/>
        </w:rPr>
      </w:pPr>
      <w:r>
        <w:rPr>
          <w:rFonts w:hint="eastAsia" w:ascii="仿宋" w:hAnsi="仿宋" w:eastAsia="仿宋" w:cs="仿宋"/>
          <w:color w:val="auto"/>
          <w:sz w:val="24"/>
          <w:highlight w:val="none"/>
        </w:rPr>
        <w:t>1.5 合同文件的优先顺序</w:t>
      </w:r>
    </w:p>
    <w:p>
      <w:pPr>
        <w:autoSpaceDE w:val="0"/>
        <w:autoSpaceDN w:val="0"/>
        <w:spacing w:line="360" w:lineRule="auto"/>
        <w:ind w:left="596" w:leftChars="284"/>
        <w:jc w:val="left"/>
        <w:rPr>
          <w:rFonts w:ascii="仿宋" w:hAnsi="仿宋" w:eastAsia="仿宋" w:cs="仿宋"/>
          <w:color w:val="auto"/>
          <w:sz w:val="24"/>
          <w:highlight w:val="none"/>
        </w:rPr>
      </w:pPr>
      <w:r>
        <w:rPr>
          <w:rFonts w:hint="eastAsia" w:ascii="仿宋" w:hAnsi="仿宋" w:eastAsia="仿宋" w:cs="仿宋"/>
          <w:color w:val="auto"/>
          <w:sz w:val="24"/>
          <w:highlight w:val="none"/>
        </w:rPr>
        <w:t>合同文件组成及优先顺序为：</w:t>
      </w:r>
    </w:p>
    <w:p>
      <w:pPr>
        <w:autoSpaceDE w:val="0"/>
        <w:autoSpaceDN w:val="0"/>
        <w:spacing w:line="360" w:lineRule="auto"/>
        <w:ind w:left="655" w:leftChars="203" w:hanging="229" w:hangingChars="95"/>
        <w:jc w:val="left"/>
        <w:rPr>
          <w:rFonts w:ascii="仿宋" w:hAnsi="仿宋" w:eastAsia="仿宋" w:cs="仿宋"/>
          <w:color w:val="auto"/>
          <w:sz w:val="24"/>
          <w:highlight w:val="none"/>
        </w:rPr>
      </w:pPr>
      <w:r>
        <w:rPr>
          <w:rFonts w:hint="eastAsia" w:ascii="仿宋" w:hAnsi="仿宋" w:eastAsia="仿宋" w:cs="仿宋"/>
          <w:b/>
          <w:color w:val="auto"/>
          <w:sz w:val="24"/>
          <w:highlight w:val="none"/>
          <w:u w:val="single"/>
        </w:rPr>
        <w:t>（1）合同协议书；</w:t>
      </w:r>
    </w:p>
    <w:p>
      <w:pPr>
        <w:autoSpaceDE w:val="0"/>
        <w:autoSpaceDN w:val="0"/>
        <w:spacing w:line="360" w:lineRule="auto"/>
        <w:ind w:firstLine="477" w:firstLineChars="198"/>
        <w:jc w:val="left"/>
        <w:rPr>
          <w:rFonts w:ascii="仿宋" w:hAnsi="仿宋" w:eastAsia="仿宋" w:cs="仿宋"/>
          <w:b/>
          <w:color w:val="auto"/>
          <w:sz w:val="24"/>
          <w:highlight w:val="none"/>
          <w:u w:val="single"/>
        </w:rPr>
      </w:pPr>
      <w:r>
        <w:rPr>
          <w:rFonts w:hint="eastAsia" w:ascii="仿宋" w:hAnsi="仿宋" w:eastAsia="仿宋" w:cs="仿宋"/>
          <w:b/>
          <w:color w:val="auto"/>
          <w:sz w:val="24"/>
          <w:highlight w:val="none"/>
          <w:u w:val="single"/>
        </w:rPr>
        <w:t>（2）中标通知书（或项目发承包基本情况表）</w:t>
      </w:r>
      <w:r>
        <w:rPr>
          <w:rFonts w:hint="eastAsia" w:ascii="仿宋" w:hAnsi="仿宋" w:eastAsia="仿宋" w:cs="仿宋"/>
          <w:b/>
          <w:color w:val="auto"/>
          <w:sz w:val="24"/>
          <w:highlight w:val="none"/>
        </w:rPr>
        <w:t>；</w:t>
      </w:r>
    </w:p>
    <w:p>
      <w:pPr>
        <w:spacing w:line="360" w:lineRule="auto"/>
        <w:ind w:firstLine="477" w:firstLineChars="198"/>
        <w:rPr>
          <w:rFonts w:ascii="仿宋" w:hAnsi="仿宋" w:eastAsia="仿宋" w:cs="仿宋"/>
          <w:b/>
          <w:color w:val="auto"/>
          <w:sz w:val="24"/>
          <w:highlight w:val="none"/>
          <w:u w:val="single"/>
        </w:rPr>
      </w:pPr>
      <w:r>
        <w:rPr>
          <w:rFonts w:hint="eastAsia" w:ascii="仿宋" w:hAnsi="仿宋" w:eastAsia="仿宋" w:cs="仿宋"/>
          <w:b/>
          <w:color w:val="auto"/>
          <w:sz w:val="24"/>
          <w:highlight w:val="none"/>
          <w:u w:val="single"/>
        </w:rPr>
        <w:t>（3）投标函及其附录（如果有）</w:t>
      </w:r>
      <w:r>
        <w:rPr>
          <w:rFonts w:hint="eastAsia" w:ascii="仿宋" w:hAnsi="仿宋" w:eastAsia="仿宋" w:cs="仿宋"/>
          <w:b/>
          <w:color w:val="auto"/>
          <w:sz w:val="24"/>
          <w:highlight w:val="none"/>
        </w:rPr>
        <w:t>；</w:t>
      </w:r>
    </w:p>
    <w:p>
      <w:pPr>
        <w:autoSpaceDE w:val="0"/>
        <w:autoSpaceDN w:val="0"/>
        <w:spacing w:line="360" w:lineRule="auto"/>
        <w:ind w:firstLine="477" w:firstLineChars="198"/>
        <w:jc w:val="left"/>
        <w:rPr>
          <w:rFonts w:ascii="仿宋" w:hAnsi="仿宋" w:eastAsia="仿宋" w:cs="仿宋"/>
          <w:b/>
          <w:color w:val="auto"/>
          <w:sz w:val="24"/>
          <w:highlight w:val="none"/>
          <w:u w:val="single"/>
        </w:rPr>
      </w:pPr>
      <w:r>
        <w:rPr>
          <w:rFonts w:hint="eastAsia" w:ascii="仿宋" w:hAnsi="仿宋" w:eastAsia="仿宋" w:cs="仿宋"/>
          <w:b/>
          <w:color w:val="auto"/>
          <w:sz w:val="24"/>
          <w:highlight w:val="none"/>
          <w:u w:val="single"/>
        </w:rPr>
        <w:t>（4）专用合同条款及其附件</w:t>
      </w:r>
      <w:r>
        <w:rPr>
          <w:rFonts w:hint="eastAsia" w:ascii="仿宋" w:hAnsi="仿宋" w:eastAsia="仿宋" w:cs="仿宋"/>
          <w:b/>
          <w:color w:val="auto"/>
          <w:sz w:val="24"/>
          <w:highlight w:val="none"/>
        </w:rPr>
        <w:t>；</w:t>
      </w:r>
    </w:p>
    <w:p>
      <w:pPr>
        <w:autoSpaceDE w:val="0"/>
        <w:autoSpaceDN w:val="0"/>
        <w:spacing w:line="360" w:lineRule="auto"/>
        <w:ind w:firstLine="477" w:firstLineChars="198"/>
        <w:jc w:val="left"/>
        <w:rPr>
          <w:rFonts w:ascii="仿宋" w:hAnsi="仿宋" w:eastAsia="仿宋" w:cs="仿宋"/>
          <w:b/>
          <w:color w:val="auto"/>
          <w:sz w:val="24"/>
          <w:highlight w:val="none"/>
          <w:u w:val="single"/>
        </w:rPr>
      </w:pPr>
      <w:r>
        <w:rPr>
          <w:rFonts w:hint="eastAsia" w:ascii="仿宋" w:hAnsi="仿宋" w:eastAsia="仿宋" w:cs="仿宋"/>
          <w:b/>
          <w:color w:val="auto"/>
          <w:sz w:val="24"/>
          <w:highlight w:val="none"/>
          <w:u w:val="single"/>
        </w:rPr>
        <w:t>（5）通用合同条款</w:t>
      </w:r>
      <w:r>
        <w:rPr>
          <w:rFonts w:hint="eastAsia" w:ascii="仿宋" w:hAnsi="仿宋" w:eastAsia="仿宋" w:cs="仿宋"/>
          <w:b/>
          <w:color w:val="auto"/>
          <w:sz w:val="24"/>
          <w:highlight w:val="none"/>
        </w:rPr>
        <w:t>；</w:t>
      </w:r>
    </w:p>
    <w:p>
      <w:pPr>
        <w:spacing w:line="360" w:lineRule="auto"/>
        <w:ind w:firstLine="477" w:firstLineChars="198"/>
        <w:rPr>
          <w:rFonts w:ascii="仿宋" w:hAnsi="仿宋" w:eastAsia="仿宋" w:cs="仿宋"/>
          <w:b/>
          <w:color w:val="auto"/>
          <w:sz w:val="24"/>
          <w:highlight w:val="none"/>
          <w:u w:val="single"/>
        </w:rPr>
      </w:pPr>
      <w:r>
        <w:rPr>
          <w:rFonts w:hint="eastAsia" w:ascii="仿宋" w:hAnsi="仿宋" w:eastAsia="仿宋" w:cs="仿宋"/>
          <w:b/>
          <w:color w:val="auto"/>
          <w:sz w:val="24"/>
          <w:highlight w:val="none"/>
          <w:u w:val="single"/>
        </w:rPr>
        <w:t>（6）技术标准和要求</w:t>
      </w:r>
      <w:r>
        <w:rPr>
          <w:rFonts w:hint="eastAsia" w:ascii="仿宋" w:hAnsi="仿宋" w:eastAsia="仿宋" w:cs="仿宋"/>
          <w:b/>
          <w:color w:val="auto"/>
          <w:sz w:val="24"/>
          <w:highlight w:val="none"/>
        </w:rPr>
        <w:t>；</w:t>
      </w:r>
    </w:p>
    <w:p>
      <w:pPr>
        <w:spacing w:line="360" w:lineRule="auto"/>
        <w:ind w:firstLine="477" w:firstLineChars="198"/>
        <w:rPr>
          <w:rFonts w:ascii="仿宋" w:hAnsi="仿宋" w:eastAsia="仿宋" w:cs="仿宋"/>
          <w:b/>
          <w:color w:val="auto"/>
          <w:sz w:val="24"/>
          <w:highlight w:val="none"/>
          <w:u w:val="single"/>
        </w:rPr>
      </w:pPr>
      <w:r>
        <w:rPr>
          <w:rFonts w:hint="eastAsia" w:ascii="仿宋" w:hAnsi="仿宋" w:eastAsia="仿宋" w:cs="仿宋"/>
          <w:b/>
          <w:color w:val="auto"/>
          <w:sz w:val="24"/>
          <w:highlight w:val="none"/>
          <w:u w:val="single"/>
        </w:rPr>
        <w:t>（7）图纸；</w:t>
      </w:r>
    </w:p>
    <w:p>
      <w:pPr>
        <w:spacing w:line="360" w:lineRule="auto"/>
        <w:ind w:firstLine="477" w:firstLineChars="198"/>
        <w:rPr>
          <w:rFonts w:ascii="仿宋" w:hAnsi="仿宋" w:eastAsia="仿宋" w:cs="仿宋"/>
          <w:b/>
          <w:color w:val="auto"/>
          <w:sz w:val="24"/>
          <w:highlight w:val="none"/>
          <w:u w:val="single"/>
        </w:rPr>
      </w:pPr>
      <w:r>
        <w:rPr>
          <w:rFonts w:hint="eastAsia" w:ascii="仿宋" w:hAnsi="仿宋" w:eastAsia="仿宋" w:cs="仿宋"/>
          <w:b/>
          <w:color w:val="auto"/>
          <w:sz w:val="24"/>
          <w:highlight w:val="none"/>
          <w:u w:val="single"/>
        </w:rPr>
        <w:t>（8）已标价工程量清单或预算书</w:t>
      </w:r>
      <w:r>
        <w:rPr>
          <w:rFonts w:hint="eastAsia" w:ascii="仿宋" w:hAnsi="仿宋" w:eastAsia="仿宋" w:cs="仿宋"/>
          <w:b/>
          <w:color w:val="auto"/>
          <w:sz w:val="24"/>
          <w:highlight w:val="none"/>
        </w:rPr>
        <w:t>；</w:t>
      </w:r>
    </w:p>
    <w:p>
      <w:pPr>
        <w:spacing w:line="360" w:lineRule="auto"/>
        <w:ind w:firstLine="477" w:firstLineChars="198"/>
        <w:rPr>
          <w:rFonts w:ascii="仿宋" w:hAnsi="仿宋" w:eastAsia="仿宋" w:cs="仿宋"/>
          <w:b/>
          <w:color w:val="auto"/>
          <w:sz w:val="24"/>
          <w:highlight w:val="none"/>
          <w:u w:val="single"/>
        </w:rPr>
      </w:pPr>
      <w:r>
        <w:rPr>
          <w:rFonts w:hint="eastAsia" w:ascii="仿宋" w:hAnsi="仿宋" w:eastAsia="仿宋" w:cs="仿宋"/>
          <w:b/>
          <w:color w:val="auto"/>
          <w:sz w:val="24"/>
          <w:highlight w:val="none"/>
          <w:u w:val="single"/>
        </w:rPr>
        <w:t>（9）其他合同文件</w:t>
      </w:r>
      <w:r>
        <w:rPr>
          <w:rFonts w:hint="eastAsia" w:ascii="仿宋" w:hAnsi="仿宋" w:eastAsia="仿宋" w:cs="仿宋"/>
          <w:b/>
          <w:color w:val="auto"/>
          <w:sz w:val="24"/>
          <w:highlight w:val="none"/>
        </w:rPr>
        <w:t>：</w:t>
      </w:r>
    </w:p>
    <w:p>
      <w:pPr>
        <w:spacing w:line="360" w:lineRule="auto"/>
        <w:ind w:firstLine="598" w:firstLineChars="248"/>
        <w:rPr>
          <w:rFonts w:ascii="仿宋" w:hAnsi="仿宋" w:eastAsia="仿宋" w:cs="仿宋"/>
          <w:b/>
          <w:color w:val="auto"/>
          <w:sz w:val="24"/>
          <w:highlight w:val="none"/>
          <w:u w:val="single"/>
        </w:rPr>
      </w:pPr>
      <w:r>
        <w:rPr>
          <w:rFonts w:hint="eastAsia" w:ascii="仿宋" w:hAnsi="仿宋" w:eastAsia="仿宋" w:cs="仿宋"/>
          <w:b/>
          <w:color w:val="auto"/>
          <w:sz w:val="24"/>
          <w:highlight w:val="none"/>
          <w:u w:val="single"/>
        </w:rPr>
        <w:t>①施工组织设计</w:t>
      </w:r>
      <w:r>
        <w:rPr>
          <w:rFonts w:hint="eastAsia" w:ascii="仿宋" w:hAnsi="仿宋" w:eastAsia="仿宋" w:cs="仿宋"/>
          <w:b/>
          <w:color w:val="auto"/>
          <w:sz w:val="24"/>
          <w:highlight w:val="none"/>
        </w:rPr>
        <w:t>；</w:t>
      </w:r>
    </w:p>
    <w:p>
      <w:pPr>
        <w:spacing w:line="360" w:lineRule="auto"/>
        <w:ind w:firstLine="598" w:firstLineChars="248"/>
        <w:rPr>
          <w:rFonts w:ascii="仿宋" w:hAnsi="仿宋" w:eastAsia="仿宋" w:cs="仿宋"/>
          <w:b/>
          <w:color w:val="auto"/>
          <w:sz w:val="24"/>
          <w:highlight w:val="none"/>
          <w:u w:val="single"/>
        </w:rPr>
      </w:pPr>
      <w:r>
        <w:rPr>
          <w:rFonts w:hint="eastAsia" w:ascii="仿宋" w:hAnsi="仿宋" w:eastAsia="仿宋" w:cs="仿宋"/>
          <w:b/>
          <w:color w:val="auto"/>
          <w:sz w:val="24"/>
          <w:highlight w:val="none"/>
          <w:u w:val="single"/>
        </w:rPr>
        <w:t xml:space="preserve">②其他： 招标文件（含工程量清单）及招标答疑。 </w:t>
      </w:r>
    </w:p>
    <w:p>
      <w:pPr>
        <w:spacing w:line="440" w:lineRule="exact"/>
        <w:ind w:firstLine="708" w:firstLineChars="295"/>
        <w:rPr>
          <w:rFonts w:ascii="仿宋" w:hAnsi="仿宋" w:eastAsia="仿宋" w:cs="仿宋"/>
          <w:color w:val="auto"/>
          <w:sz w:val="24"/>
          <w:highlight w:val="none"/>
        </w:rPr>
      </w:pPr>
      <w:bookmarkStart w:id="414" w:name="SOA_zyht_qtbcyd"/>
      <w:r>
        <w:rPr>
          <w:rFonts w:hint="eastAsia" w:ascii="仿宋" w:hAnsi="仿宋" w:eastAsia="仿宋" w:cs="仿宋"/>
          <w:color w:val="auto"/>
          <w:sz w:val="24"/>
          <w:highlight w:val="none"/>
        </w:rPr>
        <w:t>1.6 图纸和承包人文件</w:t>
      </w:r>
    </w:p>
    <w:p>
      <w:pPr>
        <w:spacing w:line="440" w:lineRule="exact"/>
        <w:ind w:firstLine="708" w:firstLineChars="295"/>
        <w:rPr>
          <w:rFonts w:ascii="仿宋" w:hAnsi="仿宋" w:eastAsia="仿宋" w:cs="仿宋"/>
          <w:color w:val="auto"/>
          <w:sz w:val="24"/>
          <w:highlight w:val="none"/>
        </w:rPr>
      </w:pPr>
      <w:r>
        <w:rPr>
          <w:rFonts w:hint="eastAsia" w:ascii="仿宋" w:hAnsi="仿宋" w:eastAsia="仿宋" w:cs="仿宋"/>
          <w:color w:val="auto"/>
          <w:sz w:val="24"/>
          <w:highlight w:val="none"/>
        </w:rPr>
        <w:t>1.6.1 图纸的提供</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发包人向承包人提供图纸的期限：</w:t>
      </w:r>
      <w:r>
        <w:rPr>
          <w:rFonts w:hint="eastAsia" w:ascii="仿宋" w:hAnsi="仿宋" w:eastAsia="仿宋" w:cs="仿宋"/>
          <w:color w:val="auto"/>
          <w:sz w:val="24"/>
          <w:highlight w:val="none"/>
          <w:u w:val="single"/>
        </w:rPr>
        <w:t>合同签定后7天内</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发包人向承包人提供图纸的数量：</w:t>
      </w:r>
      <w:r>
        <w:rPr>
          <w:rFonts w:hint="eastAsia" w:ascii="仿宋" w:hAnsi="仿宋" w:eastAsia="仿宋" w:cs="仿宋"/>
          <w:color w:val="auto"/>
          <w:sz w:val="24"/>
          <w:highlight w:val="none"/>
          <w:u w:val="single"/>
        </w:rPr>
        <w:t>提供施工图纸8套，如承包人额外需要提供  施工图纸的，则额外增加的施工图纸的制作费由承包人承担</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发包人向承包人提供图纸的内容：</w:t>
      </w:r>
      <w:r>
        <w:rPr>
          <w:rFonts w:hint="eastAsia" w:ascii="仿宋" w:hAnsi="仿宋" w:eastAsia="仿宋" w:cs="仿宋"/>
          <w:color w:val="auto"/>
          <w:sz w:val="24"/>
          <w:highlight w:val="none"/>
          <w:u w:val="single"/>
        </w:rPr>
        <w:t>本次招标所有施工内容</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1.6.4 承包人文件</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rPr>
        <w:t>需要由承包人提供的文件，包括：</w:t>
      </w:r>
      <w:r>
        <w:rPr>
          <w:rFonts w:hint="eastAsia" w:ascii="仿宋" w:hAnsi="仿宋" w:eastAsia="仿宋" w:cs="仿宋"/>
          <w:color w:val="auto"/>
          <w:sz w:val="24"/>
          <w:highlight w:val="none"/>
          <w:u w:val="single"/>
        </w:rPr>
        <w:t xml:space="preserve">施工组织设计、工作计划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承包人提供的文件的期限为：</w:t>
      </w:r>
      <w:r>
        <w:rPr>
          <w:rFonts w:hint="eastAsia" w:ascii="仿宋" w:hAnsi="仿宋" w:eastAsia="仿宋" w:cs="仿宋"/>
          <w:color w:val="auto"/>
          <w:sz w:val="24"/>
          <w:highlight w:val="none"/>
          <w:u w:val="single"/>
        </w:rPr>
        <w:t>合同签订后10天内</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承包人提供的文件的数量为：</w:t>
      </w:r>
      <w:r>
        <w:rPr>
          <w:rFonts w:hint="eastAsia" w:ascii="仿宋" w:hAnsi="仿宋" w:eastAsia="仿宋" w:cs="仿宋"/>
          <w:color w:val="auto"/>
          <w:sz w:val="24"/>
          <w:highlight w:val="none"/>
          <w:u w:val="single"/>
        </w:rPr>
        <w:t xml:space="preserve">按发包人要求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承包人提供的文件的形式为：</w:t>
      </w:r>
      <w:r>
        <w:rPr>
          <w:rFonts w:hint="eastAsia" w:ascii="仿宋" w:hAnsi="仿宋" w:eastAsia="仿宋" w:cs="仿宋"/>
          <w:color w:val="auto"/>
          <w:sz w:val="24"/>
          <w:highlight w:val="none"/>
          <w:u w:val="single"/>
        </w:rPr>
        <w:t xml:space="preserve">按发包人要求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发包人审批承包人文件的期限：</w:t>
      </w:r>
      <w:r>
        <w:rPr>
          <w:rFonts w:hint="eastAsia" w:ascii="仿宋" w:hAnsi="仿宋" w:eastAsia="仿宋" w:cs="仿宋"/>
          <w:color w:val="auto"/>
          <w:sz w:val="24"/>
          <w:highlight w:val="none"/>
          <w:u w:val="single"/>
        </w:rPr>
        <w:t>收到后14天内</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1.6.5 现场图纸准备</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关于现场图纸准备的约定：</w:t>
      </w:r>
      <w:r>
        <w:rPr>
          <w:rFonts w:hint="eastAsia" w:ascii="仿宋" w:hAnsi="仿宋" w:eastAsia="仿宋" w:cs="仿宋"/>
          <w:color w:val="auto"/>
          <w:sz w:val="24"/>
          <w:highlight w:val="none"/>
          <w:u w:val="single"/>
        </w:rPr>
        <w:t xml:space="preserve">按通用条款第1.6.5条规定执行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1.7 联络</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1.7.1发包人和承包人应当在</w:t>
      </w:r>
      <w:r>
        <w:rPr>
          <w:rFonts w:hint="eastAsia" w:ascii="仿宋" w:hAnsi="仿宋" w:eastAsia="仿宋" w:cs="仿宋"/>
          <w:color w:val="auto"/>
          <w:sz w:val="24"/>
          <w:highlight w:val="none"/>
          <w:u w:val="single"/>
        </w:rPr>
        <w:t xml:space="preserve">3  </w:t>
      </w:r>
      <w:r>
        <w:rPr>
          <w:rFonts w:hint="eastAsia" w:ascii="仿宋" w:hAnsi="仿宋" w:eastAsia="仿宋" w:cs="仿宋"/>
          <w:color w:val="auto"/>
          <w:sz w:val="24"/>
          <w:highlight w:val="none"/>
        </w:rPr>
        <w:t>天内将与合同有关的通知、批准、证明、证书、指示、指令、要求、请求、同意、意见、确定和决定等书面函件送达对方当事人。</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1.7.2 发包人接收文件的地点：</w:t>
      </w:r>
      <w:r>
        <w:rPr>
          <w:rFonts w:hint="eastAsia" w:ascii="仿宋" w:hAnsi="仿宋" w:eastAsia="仿宋" w:cs="仿宋"/>
          <w:color w:val="auto"/>
          <w:sz w:val="24"/>
          <w:highlight w:val="none"/>
          <w:u w:val="single"/>
        </w:rPr>
        <w:t xml:space="preserve">发包人现场办公室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发包人指定的接收人为：</w:t>
      </w:r>
      <w:r>
        <w:rPr>
          <w:rFonts w:hint="eastAsia" w:ascii="仿宋" w:hAnsi="仿宋" w:eastAsia="仿宋" w:cs="仿宋"/>
          <w:color w:val="auto"/>
          <w:sz w:val="24"/>
          <w:highlight w:val="none"/>
          <w:u w:val="single"/>
        </w:rPr>
        <w:t xml:space="preserve">  待定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承包人接收文件的地点：</w:t>
      </w:r>
      <w:r>
        <w:rPr>
          <w:rFonts w:hint="eastAsia" w:ascii="仿宋" w:hAnsi="仿宋" w:eastAsia="仿宋" w:cs="仿宋"/>
          <w:color w:val="auto"/>
          <w:sz w:val="24"/>
          <w:highlight w:val="none"/>
          <w:u w:val="single"/>
        </w:rPr>
        <w:t xml:space="preserve">承包人现场办公室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承包人指定的接收人为：</w:t>
      </w:r>
      <w:r>
        <w:rPr>
          <w:rFonts w:hint="eastAsia" w:ascii="仿宋" w:hAnsi="仿宋" w:eastAsia="仿宋" w:cs="仿宋"/>
          <w:color w:val="auto"/>
          <w:sz w:val="24"/>
          <w:highlight w:val="none"/>
          <w:u w:val="single"/>
        </w:rPr>
        <w:t xml:space="preserve">待定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监理人接收文件的地点：</w:t>
      </w:r>
      <w:r>
        <w:rPr>
          <w:rFonts w:hint="eastAsia" w:ascii="仿宋" w:hAnsi="仿宋" w:eastAsia="仿宋" w:cs="仿宋"/>
          <w:color w:val="auto"/>
          <w:sz w:val="24"/>
          <w:highlight w:val="none"/>
          <w:u w:val="single"/>
        </w:rPr>
        <w:t xml:space="preserve">监理人现场办公室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监理人指定的接收人为：</w:t>
      </w:r>
      <w:r>
        <w:rPr>
          <w:rFonts w:hint="eastAsia" w:ascii="仿宋" w:hAnsi="仿宋" w:eastAsia="仿宋" w:cs="仿宋"/>
          <w:color w:val="auto"/>
          <w:sz w:val="24"/>
          <w:highlight w:val="none"/>
          <w:u w:val="single"/>
        </w:rPr>
        <w:t xml:space="preserve">待定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1.10 交通运输</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1.10.1 出入现场的权利</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rPr>
        <w:t>关于出入现场的权利的约定：</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1.10.3 场内交通</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rPr>
        <w:t>关于场外交通和场内交通的边界的约定：</w:t>
      </w:r>
      <w:r>
        <w:rPr>
          <w:rFonts w:hint="eastAsia" w:ascii="仿宋" w:hAnsi="仿宋" w:eastAsia="仿宋" w:cs="仿宋"/>
          <w:color w:val="auto"/>
          <w:sz w:val="24"/>
          <w:highlight w:val="none"/>
          <w:u w:val="single"/>
        </w:rPr>
        <w:t xml:space="preserve">以施工现场围墙（挡）为界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关于发包人向承包人免费提供满足工程施工需要的场内道路和交通设施的约定：</w:t>
      </w:r>
      <w:r>
        <w:rPr>
          <w:rFonts w:hint="eastAsia" w:ascii="仿宋" w:hAnsi="仿宋" w:eastAsia="仿宋" w:cs="仿宋"/>
          <w:color w:val="auto"/>
          <w:sz w:val="24"/>
          <w:highlight w:val="none"/>
          <w:u w:val="single"/>
        </w:rPr>
        <w:t>无满足工程施工需要的场内道路和交通设施，承包人自行建设，并承担费用</w:t>
      </w:r>
      <w:r>
        <w:rPr>
          <w:rFonts w:hint="eastAsia" w:ascii="仿宋" w:hAnsi="仿宋" w:eastAsia="仿宋" w:cs="仿宋"/>
          <w:color w:val="auto"/>
          <w:sz w:val="24"/>
          <w:highlight w:val="none"/>
        </w:rPr>
        <w:t xml:space="preserve">。  </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1.10.4超大件和超重件的运输</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运输超大件或超重件所需的道路和桥梁临时加固修缮费用和其他有关费用由</w:t>
      </w:r>
      <w:r>
        <w:rPr>
          <w:rFonts w:hint="eastAsia" w:ascii="仿宋" w:hAnsi="仿宋" w:eastAsia="仿宋" w:cs="仿宋"/>
          <w:color w:val="auto"/>
          <w:sz w:val="24"/>
          <w:highlight w:val="none"/>
          <w:u w:val="single"/>
        </w:rPr>
        <w:t>承包人</w:t>
      </w:r>
      <w:r>
        <w:rPr>
          <w:rFonts w:hint="eastAsia" w:ascii="仿宋" w:hAnsi="仿宋" w:eastAsia="仿宋" w:cs="仿宋"/>
          <w:color w:val="auto"/>
          <w:sz w:val="24"/>
          <w:highlight w:val="none"/>
        </w:rPr>
        <w:t>承担。</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本工程的超大件：</w:t>
      </w:r>
      <w:r>
        <w:rPr>
          <w:rFonts w:hint="eastAsia" w:ascii="仿宋" w:hAnsi="仿宋" w:eastAsia="仿宋" w:cs="仿宋"/>
          <w:color w:val="auto"/>
          <w:sz w:val="24"/>
          <w:highlight w:val="none"/>
          <w:u w:val="single"/>
        </w:rPr>
        <w:t xml:space="preserve">               见设计文件             </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本工程的超重件：</w:t>
      </w:r>
      <w:r>
        <w:rPr>
          <w:rFonts w:hint="eastAsia" w:ascii="仿宋" w:hAnsi="仿宋" w:eastAsia="仿宋" w:cs="仿宋"/>
          <w:color w:val="auto"/>
          <w:sz w:val="24"/>
          <w:highlight w:val="none"/>
          <w:u w:val="single"/>
        </w:rPr>
        <w:t xml:space="preserve">               见设计文件             </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1.11 知识产权</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rPr>
        <w:t>1.11.1关于发包人提供给承包人的图纸、发包人为实施工程自行编制或委托编制的技术规范以及反映发包人关于合同要求或其他类似性质的文件的著作权的归属：</w:t>
      </w:r>
      <w:r>
        <w:rPr>
          <w:rFonts w:hint="eastAsia" w:ascii="仿宋" w:hAnsi="仿宋" w:eastAsia="仿宋" w:cs="仿宋"/>
          <w:color w:val="auto"/>
          <w:sz w:val="24"/>
          <w:highlight w:val="none"/>
          <w:u w:val="single"/>
        </w:rPr>
        <w:t>归发包人所有。</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rPr>
        <w:t>关于发包人提供的上述文件的使用限制的要求：</w:t>
      </w:r>
      <w:r>
        <w:rPr>
          <w:rFonts w:hint="eastAsia" w:ascii="仿宋" w:hAnsi="仿宋" w:eastAsia="仿宋" w:cs="仿宋"/>
          <w:color w:val="auto"/>
          <w:sz w:val="24"/>
          <w:highlight w:val="none"/>
          <w:u w:val="single"/>
        </w:rPr>
        <w:t xml:space="preserve">   不得向他人提供    </w:t>
      </w:r>
      <w:r>
        <w:rPr>
          <w:rFonts w:hint="eastAsia" w:ascii="仿宋" w:hAnsi="仿宋" w:eastAsia="仿宋" w:cs="仿宋"/>
          <w:color w:val="auto"/>
          <w:sz w:val="24"/>
          <w:highlight w:val="none"/>
        </w:rPr>
        <w:t xml:space="preserve"> 。</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1.11.2 关于承包人为实施工程所编制文件的著作权的归属：</w:t>
      </w:r>
      <w:r>
        <w:rPr>
          <w:rFonts w:hint="eastAsia" w:ascii="仿宋" w:hAnsi="仿宋" w:eastAsia="仿宋" w:cs="仿宋"/>
          <w:color w:val="auto"/>
          <w:sz w:val="24"/>
          <w:highlight w:val="none"/>
          <w:u w:val="single"/>
        </w:rPr>
        <w:t xml:space="preserve">  归双方所有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关于承包人提供的上述文件的使用限制的要求：</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1.11.4 承包人在施工过程中所采用的专利、专有技术、技术秘密的使用费的承担方式：</w:t>
      </w:r>
      <w:r>
        <w:rPr>
          <w:rFonts w:hint="eastAsia" w:ascii="仿宋" w:hAnsi="仿宋" w:eastAsia="仿宋" w:cs="仿宋"/>
          <w:color w:val="auto"/>
          <w:sz w:val="24"/>
          <w:highlight w:val="none"/>
          <w:u w:val="single"/>
        </w:rPr>
        <w:t xml:space="preserve">（除发包人指明外）承包人在施工过程中所采用的专利、专有技术、技术秘密的使用费包含在合同价款内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1.13工程量清单错误的修正</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出现工程量清单错误时，是否调整合同价格：</w:t>
      </w:r>
      <w:r>
        <w:rPr>
          <w:rFonts w:hint="eastAsia" w:ascii="仿宋" w:hAnsi="仿宋" w:eastAsia="仿宋" w:cs="仿宋"/>
          <w:color w:val="auto"/>
          <w:sz w:val="24"/>
          <w:highlight w:val="none"/>
          <w:u w:val="single"/>
        </w:rPr>
        <w:t xml:space="preserve">   是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允许调整合同价格的工程量偏差范围：</w:t>
      </w:r>
      <w:r>
        <w:rPr>
          <w:rFonts w:hint="eastAsia" w:ascii="仿宋" w:hAnsi="仿宋" w:eastAsia="仿宋" w:cs="仿宋"/>
          <w:bCs/>
          <w:color w:val="auto"/>
          <w:sz w:val="24"/>
          <w:highlight w:val="none"/>
          <w:u w:val="single"/>
        </w:rPr>
        <w:t>合同双方、审计确认后按实调整</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调整合同价格的修正时间：</w:t>
      </w:r>
      <w:r>
        <w:rPr>
          <w:rFonts w:hint="eastAsia" w:ascii="仿宋" w:hAnsi="仿宋" w:eastAsia="仿宋" w:cs="仿宋"/>
          <w:color w:val="auto"/>
          <w:sz w:val="24"/>
          <w:highlight w:val="none"/>
          <w:u w:val="single"/>
        </w:rPr>
        <w:t>发生时双方协商确定</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2. 发包人</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发包人应根据工程所需配备发包人代表，同时配备1名相关人员到岗履职。</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2.2 发包人代表</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发包人代表：</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姓    名：</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身份证号：</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职    务：</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电子信箱：</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通信地址：</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rPr>
        <w:t>发包人对发包人代表的授权范围如下：</w:t>
      </w:r>
      <w:r>
        <w:rPr>
          <w:rFonts w:hint="eastAsia" w:ascii="仿宋" w:hAnsi="仿宋" w:eastAsia="仿宋" w:cs="仿宋"/>
          <w:color w:val="auto"/>
          <w:sz w:val="24"/>
          <w:highlight w:val="none"/>
          <w:u w:val="single"/>
        </w:rPr>
        <w:t>对质量、成本、安全、进度进行全面管理，涉及合同价格变更、施工进度调整、品牌确定、安全事故、质量事故等重大事项的处理须经发包人同意</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2.4 施工现场、施工条件和基础资料的提供</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2.4.1 提供施工现场</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关于发包人移交施工现场的期限要求：</w:t>
      </w:r>
      <w:r>
        <w:rPr>
          <w:rFonts w:hint="eastAsia" w:ascii="仿宋" w:hAnsi="仿宋" w:eastAsia="仿宋" w:cs="仿宋"/>
          <w:color w:val="auto"/>
          <w:sz w:val="24"/>
          <w:highlight w:val="none"/>
          <w:u w:val="single"/>
        </w:rPr>
        <w:t xml:space="preserve">已具备施工条件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2.4.2 提供施工条件</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rPr>
        <w:t>关于发包人应负责提供施工所需要的条件，包括：</w:t>
      </w:r>
      <w:r>
        <w:rPr>
          <w:rFonts w:hint="eastAsia" w:ascii="仿宋" w:hAnsi="仿宋" w:eastAsia="仿宋" w:cs="仿宋"/>
          <w:color w:val="auto"/>
          <w:sz w:val="24"/>
          <w:highlight w:val="none"/>
          <w:u w:val="single"/>
        </w:rPr>
        <w:t xml:space="preserve">开工前提供水、电接口，由承包人接至其施工范围内并装表计量，同时承担相应费用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2.5 资金来源证明及支付担保</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发包人提供资金来源证明的期限要求：</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发包人是否提供支付担保：</w:t>
      </w:r>
      <w:r>
        <w:rPr>
          <w:rFonts w:hint="eastAsia" w:ascii="仿宋" w:hAnsi="仿宋" w:eastAsia="仿宋" w:cs="仿宋"/>
          <w:color w:val="auto"/>
          <w:sz w:val="24"/>
          <w:highlight w:val="none"/>
          <w:u w:val="single"/>
        </w:rPr>
        <w:t xml:space="preserve">         否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rPr>
        <w:t>发包人提供支付担保的形式：</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3. 承包人</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3.1 承包人的一般义务</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rPr>
        <w:t>（5）承包人提交的竣工资料的内容：</w:t>
      </w:r>
      <w:r>
        <w:rPr>
          <w:rFonts w:hint="eastAsia" w:ascii="仿宋" w:hAnsi="仿宋" w:eastAsia="仿宋" w:cs="仿宋"/>
          <w:color w:val="auto"/>
          <w:sz w:val="24"/>
          <w:highlight w:val="none"/>
          <w:u w:val="single"/>
        </w:rPr>
        <w:t>竣工图、竣工资料及竣工验收报告，并附光盘（含对关键部位施工及施工主体的影像资料、图片）</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承包人需要提交的竣工资料套数：</w:t>
      </w:r>
      <w:r>
        <w:rPr>
          <w:rFonts w:hint="eastAsia" w:ascii="仿宋" w:hAnsi="仿宋" w:eastAsia="仿宋" w:cs="仿宋"/>
          <w:color w:val="auto"/>
          <w:sz w:val="24"/>
          <w:highlight w:val="none"/>
          <w:u w:val="single"/>
        </w:rPr>
        <w:t xml:space="preserve">  按有关规定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承包人提交的竣工资料的费用承担：</w:t>
      </w:r>
      <w:r>
        <w:rPr>
          <w:rFonts w:hint="eastAsia" w:ascii="仿宋" w:hAnsi="仿宋" w:eastAsia="仿宋" w:cs="仿宋"/>
          <w:color w:val="auto"/>
          <w:sz w:val="24"/>
          <w:highlight w:val="none"/>
          <w:u w:val="single"/>
        </w:rPr>
        <w:t xml:space="preserve">承包人承担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承包人提交的竣工资料移交时间：</w:t>
      </w:r>
      <w:r>
        <w:rPr>
          <w:rFonts w:hint="eastAsia" w:ascii="仿宋" w:hAnsi="仿宋" w:eastAsia="仿宋" w:cs="仿宋"/>
          <w:color w:val="auto"/>
          <w:sz w:val="24"/>
          <w:highlight w:val="none"/>
          <w:u w:val="single"/>
        </w:rPr>
        <w:t xml:space="preserve">竣工后15天内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承包人提交的竣工资料形式要求：</w:t>
      </w:r>
      <w:r>
        <w:rPr>
          <w:rFonts w:hint="eastAsia" w:ascii="仿宋" w:hAnsi="仿宋" w:eastAsia="仿宋" w:cs="仿宋"/>
          <w:color w:val="auto"/>
          <w:sz w:val="24"/>
          <w:highlight w:val="none"/>
          <w:u w:val="single"/>
        </w:rPr>
        <w:t xml:space="preserve">纸质版和电子版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（6）承包人应履行的其他义务：</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3.2 项目经理</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3.2.1 项目经理：</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姓    名：</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身份证号：</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建造师执业资格等级：</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建造师注册证书号：</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建造师执业印章号：</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安全生产考核合格证书号：</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电子信箱：</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通信地址：</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承包人对项目经理的授权范围如下：</w:t>
      </w:r>
      <w:r>
        <w:rPr>
          <w:rFonts w:hint="eastAsia" w:ascii="仿宋" w:hAnsi="仿宋" w:eastAsia="仿宋" w:cs="仿宋"/>
          <w:color w:val="auto"/>
          <w:sz w:val="24"/>
          <w:highlight w:val="none"/>
          <w:u w:val="single"/>
        </w:rPr>
        <w:t>全面负责本工程的质量、安全、工期及成本控制</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关于项目经理每月在施工现场的时间要求：</w:t>
      </w:r>
      <w:r>
        <w:rPr>
          <w:rFonts w:hint="eastAsia" w:ascii="仿宋" w:hAnsi="仿宋" w:eastAsia="仿宋" w:cs="仿宋"/>
          <w:color w:val="auto"/>
          <w:sz w:val="24"/>
          <w:highlight w:val="none"/>
          <w:u w:val="single"/>
        </w:rPr>
        <w:t xml:space="preserve">项目经理到位率不低于90%，重要施工工序或环节时项目经理、技术负责人等必须到场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承包人未提交劳动合同，以及没有为项目经理缴纳社会保险证明的违约责任：</w:t>
      </w:r>
      <w:r>
        <w:rPr>
          <w:rFonts w:hint="eastAsia" w:ascii="仿宋" w:hAnsi="仿宋" w:eastAsia="仿宋" w:cs="仿宋"/>
          <w:color w:val="auto"/>
          <w:sz w:val="24"/>
          <w:highlight w:val="none"/>
          <w:u w:val="single"/>
        </w:rPr>
        <w:t xml:space="preserve">责令承包人改正，并从履约保证金中扣除1000元人民币违约金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rPr>
        <w:t>项目经理未经批准，擅自离开施工现场的违约责任：</w:t>
      </w:r>
      <w:r>
        <w:rPr>
          <w:rFonts w:hint="eastAsia" w:ascii="仿宋" w:hAnsi="仿宋" w:eastAsia="仿宋" w:cs="仿宋"/>
          <w:color w:val="auto"/>
          <w:sz w:val="24"/>
          <w:highlight w:val="none"/>
          <w:u w:val="single"/>
        </w:rPr>
        <w:t>处以违约金500元/天·人的罚款</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rPr>
        <w:t>3.2.3 承包人擅自更换项目经理的违约责任：</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rPr>
        <w:t>（1）承包人确需更换项目经理的，继任项目经理管理经验的约定：</w:t>
      </w:r>
      <w:r>
        <w:rPr>
          <w:rFonts w:hint="eastAsia" w:ascii="仿宋" w:hAnsi="仿宋" w:eastAsia="仿宋" w:cs="仿宋"/>
          <w:color w:val="auto"/>
          <w:sz w:val="24"/>
          <w:highlight w:val="none"/>
          <w:u w:val="single"/>
        </w:rPr>
        <w:t xml:space="preserve"> 经发包人同意承包人递交更换项目经理的申请后，允许承包人更换不低于原项目经理管理经验的项目经理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（2）承包人擅自更换项目经理的违约责任：</w:t>
      </w:r>
      <w:r>
        <w:rPr>
          <w:rFonts w:hint="eastAsia" w:ascii="仿宋" w:hAnsi="仿宋" w:eastAsia="仿宋" w:cs="仿宋"/>
          <w:color w:val="auto"/>
          <w:sz w:val="24"/>
          <w:highlight w:val="none"/>
          <w:u w:val="single"/>
        </w:rPr>
        <w:t xml:space="preserve">处以违约金5000元人民币/次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rPr>
        <w:t>3.2.4 承包人无正当理由拒绝更换项目经理的违约责任：</w:t>
      </w:r>
      <w:r>
        <w:rPr>
          <w:rFonts w:hint="eastAsia" w:ascii="仿宋" w:hAnsi="仿宋" w:eastAsia="仿宋" w:cs="仿宋"/>
          <w:color w:val="auto"/>
          <w:sz w:val="24"/>
          <w:highlight w:val="none"/>
          <w:u w:val="single"/>
        </w:rPr>
        <w:t xml:space="preserve">从履约保证金中扣除人民币1000元违约金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3.3 承包人人员</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3.3.1 承包人提交项目管理机构及施工现场管理人员安排报告的期限：</w:t>
      </w:r>
      <w:r>
        <w:rPr>
          <w:rFonts w:hint="eastAsia" w:ascii="仿宋" w:hAnsi="仿宋" w:eastAsia="仿宋" w:cs="仿宋"/>
          <w:color w:val="auto"/>
          <w:sz w:val="24"/>
          <w:highlight w:val="none"/>
          <w:u w:val="single"/>
        </w:rPr>
        <w:t xml:space="preserve">合同生效后7天内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3.3.2 承包人需更换主要施工管理人员的，继任人员的数量、注册执业资格、管理经验的约定：</w:t>
      </w:r>
      <w:r>
        <w:rPr>
          <w:rFonts w:hint="eastAsia" w:ascii="仿宋" w:hAnsi="仿宋" w:eastAsia="仿宋" w:cs="仿宋"/>
          <w:color w:val="auto"/>
          <w:sz w:val="24"/>
          <w:highlight w:val="none"/>
          <w:u w:val="single"/>
        </w:rPr>
        <w:t xml:space="preserve">经发包人同意承包人递交更换主要施工管理人员的申请后，允许承包人更换不低于原管理人员执业资质及管理经验的相关人员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3.3.3 承包人无正当理由拒绝撤换主要施工管理人员的违约责任：</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rPr>
        <w:t>3.3.4 承包人主要施工管理人员离开施工现场的批准要求：</w:t>
      </w:r>
      <w:r>
        <w:rPr>
          <w:rFonts w:hint="eastAsia" w:ascii="仿宋" w:hAnsi="仿宋" w:eastAsia="仿宋" w:cs="仿宋"/>
          <w:color w:val="auto"/>
          <w:sz w:val="24"/>
          <w:highlight w:val="none"/>
          <w:u w:val="single"/>
        </w:rPr>
        <w:t>无正当理由不予批准</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3.3.5承包人擅自更换主要施工管理人员的违约责任：</w:t>
      </w:r>
      <w:r>
        <w:rPr>
          <w:rFonts w:hint="eastAsia" w:ascii="仿宋" w:hAnsi="仿宋" w:eastAsia="仿宋" w:cs="仿宋"/>
          <w:color w:val="auto"/>
          <w:sz w:val="24"/>
          <w:highlight w:val="none"/>
          <w:u w:val="single"/>
        </w:rPr>
        <w:t>处以违约金500元人民币/次/人</w:t>
      </w:r>
      <w:r>
        <w:rPr>
          <w:rFonts w:hint="eastAsia" w:ascii="仿宋" w:hAnsi="仿宋" w:eastAsia="仿宋" w:cs="仿宋"/>
          <w:color w:val="auto"/>
          <w:sz w:val="24"/>
          <w:highlight w:val="none"/>
        </w:rPr>
        <w:t>承包人主要施工管理人员擅自离开施工现场的违约责任：</w:t>
      </w:r>
      <w:r>
        <w:rPr>
          <w:rFonts w:hint="eastAsia" w:ascii="仿宋" w:hAnsi="仿宋" w:eastAsia="仿宋" w:cs="仿宋"/>
          <w:color w:val="auto"/>
          <w:sz w:val="24"/>
          <w:highlight w:val="none"/>
          <w:u w:val="single"/>
        </w:rPr>
        <w:t xml:space="preserve">处以违约金200元人民币/次/人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3.5 分包</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3.5.1 分包的一般约定</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禁止分包的工程包括：</w:t>
      </w:r>
      <w:r>
        <w:rPr>
          <w:rFonts w:hint="eastAsia" w:ascii="仿宋" w:hAnsi="仿宋" w:eastAsia="仿宋" w:cs="仿宋"/>
          <w:color w:val="auto"/>
          <w:sz w:val="24"/>
          <w:highlight w:val="none"/>
          <w:u w:val="single"/>
        </w:rPr>
        <w:t xml:space="preserve">关键性工作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rPr>
        <w:t>主体结构、关键性工作的范围：</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3.5.2分包的确定</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rPr>
        <w:t>允许分包的专业工程包括：</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rPr>
        <w:t>其他关于分包的约定：</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3.5.4 分包合同价款</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关于分包合同价款支付的约定：</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3.6 工程照管与成品、半成品保护</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rPr>
        <w:t>承包人负责照管工程及工程相关的材料、工程设备的起始时间：</w:t>
      </w:r>
      <w:r>
        <w:rPr>
          <w:rFonts w:hint="eastAsia" w:ascii="仿宋" w:hAnsi="仿宋" w:eastAsia="仿宋" w:cs="仿宋"/>
          <w:color w:val="auto"/>
          <w:sz w:val="24"/>
          <w:highlight w:val="none"/>
          <w:u w:val="single"/>
        </w:rPr>
        <w:t>合同签订后   。</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3.</w:t>
      </w:r>
      <w:bookmarkStart w:id="415" w:name="ed_2017Y6M14D16H59M04"/>
      <w:r>
        <w:rPr>
          <w:rFonts w:hint="eastAsia" w:ascii="仿宋" w:hAnsi="仿宋" w:eastAsia="仿宋" w:cs="仿宋"/>
          <w:color w:val="auto"/>
          <w:sz w:val="24"/>
          <w:highlight w:val="none"/>
        </w:rPr>
        <w:t>7 履约担保</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承包人是否提供履约担保：</w:t>
      </w:r>
      <w:r>
        <w:rPr>
          <w:rFonts w:hint="eastAsia" w:ascii="仿宋" w:hAnsi="仿宋" w:eastAsia="仿宋" w:cs="仿宋"/>
          <w:color w:val="auto"/>
          <w:sz w:val="24"/>
          <w:highlight w:val="none"/>
          <w:u w:val="single"/>
        </w:rPr>
        <w:t xml:space="preserve">   是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rPr>
        <w:t>承包人提供履约担保的形式、金额及期限的：</w:t>
      </w:r>
      <w:bookmarkEnd w:id="415"/>
      <w:r>
        <w:rPr>
          <w:rFonts w:hint="eastAsia" w:ascii="仿宋" w:hAnsi="仿宋" w:eastAsia="仿宋" w:cs="仿宋"/>
          <w:color w:val="auto"/>
          <w:sz w:val="24"/>
          <w:highlight w:val="none"/>
          <w:u w:val="single"/>
        </w:rPr>
        <w:t>现金转账或银行保函，金额为合同价的1%作为履约保证金（其中：质量履约保证金为 30%、工期履约保证金为30%、安全文明施工履约保证金为20%、施工机械设备到位保证金为10%、项目班子到位保证金为10%）；以现金转账形式提供履约担保的直接转入发包方账户，履约保证金在项目验收合格后无息退还；若以银行保函提供履约担保的，履约担保有效期自履约担保交纳之日起至竣工验收合格后3个月有效。在此有效期截止日后14天内此履约担保（如有剩余）退还给承包人，履约担保不计息。如工期拖延，则承包人必须在有效期满前1个月办理保函有效期顺延事宜，否则发包人有权不予支付工程款。</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4. 监理人</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4.1监理人的一般规定</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关于监理人的监理内容：</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关于监理人的监理权限：</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rPr>
        <w:t>关于监理人在施工现场的办公场所、生活场所的提供和费用承担的约定：</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4.2 监理人员</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总监理工程师：</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姓    名：</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职    务：</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监理工程师执业资格证书号：</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电子信箱：</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通信地址：</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关于监理人的其他约定：</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4.4 商定或确定</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在发包人和承包人不能通过协商达成一致意见时，发包人授权监理人对以下事项进行确定：</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5. 工程质量</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5.1 质量要求</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rPr>
        <w:t>5.1.1 特殊质量标准和要求：</w:t>
      </w:r>
      <w:r>
        <w:rPr>
          <w:rFonts w:hint="eastAsia" w:ascii="仿宋" w:hAnsi="仿宋" w:eastAsia="仿宋" w:cs="仿宋"/>
          <w:color w:val="auto"/>
          <w:sz w:val="24"/>
          <w:highlight w:val="none"/>
          <w:u w:val="single"/>
        </w:rPr>
        <w:t xml:space="preserve">     合格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rPr>
        <w:t>关于工程奖项的约定：</w:t>
      </w:r>
      <w:r>
        <w:rPr>
          <w:rFonts w:hint="eastAsia" w:ascii="仿宋" w:hAnsi="仿宋" w:eastAsia="仿宋" w:cs="仿宋"/>
          <w:color w:val="auto"/>
          <w:sz w:val="24"/>
          <w:highlight w:val="none"/>
          <w:u w:val="single"/>
        </w:rPr>
        <w:t xml:space="preserve">       无                        </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5.3 隐蔽工程检查</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5.3.2承包人提前通知监理人隐蔽工程检查的期限的约定：</w:t>
      </w:r>
      <w:r>
        <w:rPr>
          <w:rFonts w:hint="eastAsia" w:ascii="仿宋" w:hAnsi="仿宋" w:eastAsia="仿宋" w:cs="仿宋"/>
          <w:color w:val="auto"/>
          <w:sz w:val="24"/>
          <w:highlight w:val="none"/>
          <w:u w:val="single"/>
        </w:rPr>
        <w:t>24小时</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监理人不能按时进行检查时，应提前</w:t>
      </w:r>
      <w:r>
        <w:rPr>
          <w:rFonts w:hint="eastAsia" w:ascii="仿宋" w:hAnsi="仿宋" w:eastAsia="仿宋" w:cs="仿宋"/>
          <w:color w:val="auto"/>
          <w:sz w:val="24"/>
          <w:highlight w:val="none"/>
          <w:u w:val="single"/>
        </w:rPr>
        <w:t xml:space="preserve">  24  </w:t>
      </w:r>
      <w:r>
        <w:rPr>
          <w:rFonts w:hint="eastAsia" w:ascii="仿宋" w:hAnsi="仿宋" w:eastAsia="仿宋" w:cs="仿宋"/>
          <w:color w:val="auto"/>
          <w:sz w:val="24"/>
          <w:highlight w:val="none"/>
        </w:rPr>
        <w:t>小时提交书面延期要求。</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关于延期最长不得超过：</w:t>
      </w:r>
      <w:r>
        <w:rPr>
          <w:rFonts w:hint="eastAsia" w:ascii="仿宋" w:hAnsi="仿宋" w:eastAsia="仿宋" w:cs="仿宋"/>
          <w:color w:val="auto"/>
          <w:sz w:val="24"/>
          <w:highlight w:val="none"/>
          <w:u w:val="single"/>
        </w:rPr>
        <w:t xml:space="preserve">  24    </w:t>
      </w:r>
      <w:r>
        <w:rPr>
          <w:rFonts w:hint="eastAsia" w:ascii="仿宋" w:hAnsi="仿宋" w:eastAsia="仿宋" w:cs="仿宋"/>
          <w:color w:val="auto"/>
          <w:sz w:val="24"/>
          <w:highlight w:val="none"/>
        </w:rPr>
        <w:t>小时。</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6. 安全文明施工与环境保护</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6.1安全文明施工</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rPr>
        <w:t>6.1.1 项目安全生产的达标目标及相应事项的约定：</w:t>
      </w:r>
      <w:r>
        <w:rPr>
          <w:rFonts w:hint="eastAsia" w:ascii="仿宋" w:hAnsi="仿宋" w:eastAsia="仿宋" w:cs="仿宋"/>
          <w:color w:val="auto"/>
          <w:sz w:val="24"/>
          <w:highlight w:val="none"/>
          <w:u w:val="single"/>
        </w:rPr>
        <w:t>施工现场按照《建筑施工安全检查标准》（JGJ59-2011）评定达到“合格”标准。</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rPr>
        <w:t>6.1.4 关于治安保卫的特别约定：</w:t>
      </w:r>
      <w:r>
        <w:rPr>
          <w:rFonts w:hint="eastAsia" w:ascii="仿宋" w:hAnsi="仿宋" w:eastAsia="仿宋" w:cs="仿宋"/>
          <w:color w:val="auto"/>
          <w:sz w:val="24"/>
          <w:highlight w:val="none"/>
          <w:u w:val="single"/>
        </w:rPr>
        <w:t xml:space="preserve">     按通用条款约定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关于编制施工场地治安管理计划的约定：</w:t>
      </w:r>
      <w:r>
        <w:rPr>
          <w:rFonts w:hint="eastAsia" w:ascii="仿宋" w:hAnsi="仿宋" w:eastAsia="仿宋" w:cs="仿宋"/>
          <w:color w:val="auto"/>
          <w:sz w:val="24"/>
          <w:highlight w:val="none"/>
          <w:u w:val="single"/>
        </w:rPr>
        <w:t xml:space="preserve"> 按通用条款约定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6.1.5 文明施工</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合同当事人对文明施工的要求：</w:t>
      </w:r>
    </w:p>
    <w:p>
      <w:pPr>
        <w:spacing w:line="440" w:lineRule="exact"/>
        <w:ind w:firstLine="566" w:firstLineChars="236"/>
        <w:rPr>
          <w:rFonts w:ascii="仿宋" w:hAnsi="仿宋" w:eastAsia="仿宋" w:cs="仿宋"/>
          <w:color w:val="auto"/>
          <w:sz w:val="24"/>
          <w:highlight w:val="none"/>
          <w:u w:val="single"/>
          <w:lang w:val="zh-CN"/>
        </w:rPr>
      </w:pPr>
      <w:r>
        <w:rPr>
          <w:rFonts w:hint="eastAsia" w:ascii="仿宋" w:hAnsi="仿宋" w:eastAsia="仿宋" w:cs="仿宋"/>
          <w:color w:val="auto"/>
          <w:sz w:val="24"/>
          <w:highlight w:val="none"/>
          <w:u w:val="single"/>
        </w:rPr>
        <w:t>（1）</w:t>
      </w:r>
      <w:r>
        <w:rPr>
          <w:rFonts w:hint="eastAsia" w:ascii="仿宋" w:hAnsi="仿宋" w:eastAsia="仿宋" w:cs="仿宋"/>
          <w:color w:val="auto"/>
          <w:sz w:val="24"/>
          <w:highlight w:val="none"/>
          <w:u w:val="single"/>
          <w:lang w:val="zh-CN"/>
        </w:rPr>
        <w:t>遵守地方政府和有关部门对施工场地交通、环卫、安全和施工噪音等管理规定，并办理相关审批手续</w:t>
      </w:r>
      <w:r>
        <w:rPr>
          <w:rFonts w:hint="eastAsia" w:ascii="仿宋" w:hAnsi="仿宋" w:eastAsia="仿宋" w:cs="仿宋"/>
          <w:color w:val="auto"/>
          <w:sz w:val="24"/>
          <w:highlight w:val="none"/>
          <w:lang w:val="zh-CN"/>
        </w:rPr>
        <w:t>。</w:t>
      </w:r>
    </w:p>
    <w:p>
      <w:pPr>
        <w:spacing w:line="440" w:lineRule="exact"/>
        <w:ind w:firstLine="566" w:firstLineChars="236"/>
        <w:rPr>
          <w:rFonts w:ascii="仿宋" w:hAnsi="仿宋" w:eastAsia="仿宋" w:cs="仿宋"/>
          <w:color w:val="auto"/>
          <w:sz w:val="24"/>
          <w:highlight w:val="none"/>
          <w:lang w:val="zh-CN"/>
        </w:rPr>
      </w:pPr>
      <w:r>
        <w:rPr>
          <w:rFonts w:hint="eastAsia" w:ascii="仿宋" w:hAnsi="仿宋" w:eastAsia="仿宋" w:cs="仿宋"/>
          <w:color w:val="auto"/>
          <w:sz w:val="24"/>
          <w:highlight w:val="none"/>
          <w:u w:val="single"/>
          <w:lang w:val="zh-CN"/>
        </w:rPr>
        <w:t>（2）承包人应采取有效措施尽量减小尘土和噪音污染，需要进行夜间作业时应经有关部门批准</w:t>
      </w:r>
      <w:r>
        <w:rPr>
          <w:rFonts w:hint="eastAsia" w:ascii="仿宋" w:hAnsi="仿宋" w:eastAsia="仿宋" w:cs="仿宋"/>
          <w:color w:val="auto"/>
          <w:sz w:val="24"/>
          <w:highlight w:val="none"/>
          <w:lang w:val="zh-CN"/>
        </w:rPr>
        <w:t>。</w:t>
      </w:r>
    </w:p>
    <w:p>
      <w:pPr>
        <w:spacing w:line="440" w:lineRule="exact"/>
        <w:ind w:firstLine="566" w:firstLineChars="236"/>
        <w:rPr>
          <w:rFonts w:ascii="仿宋" w:hAnsi="仿宋" w:eastAsia="仿宋" w:cs="仿宋"/>
          <w:color w:val="auto"/>
          <w:sz w:val="24"/>
          <w:highlight w:val="none"/>
          <w:lang w:val="zh-CN"/>
        </w:rPr>
      </w:pPr>
      <w:r>
        <w:rPr>
          <w:rFonts w:hint="eastAsia" w:ascii="仿宋" w:hAnsi="仿宋" w:eastAsia="仿宋" w:cs="仿宋"/>
          <w:color w:val="auto"/>
          <w:sz w:val="24"/>
          <w:highlight w:val="none"/>
          <w:u w:val="single"/>
          <w:lang w:val="zh-CN"/>
        </w:rPr>
        <w:t>（3）其他：以打造文明工地、控制扬尘和施工现场场容场貌为目标，认真做好建筑工地文明施工和扬尘污染综合整治工作，严格遵守和执行杭建文领（2009）2 号文“杭州市区建筑工地文明施工和扬尘污染综合整治评价暂行办法”</w:t>
      </w:r>
      <w:r>
        <w:rPr>
          <w:rFonts w:hint="eastAsia" w:ascii="仿宋" w:hAnsi="仿宋" w:eastAsia="仿宋" w:cs="仿宋"/>
          <w:color w:val="auto"/>
          <w:sz w:val="24"/>
          <w:highlight w:val="none"/>
          <w:lang w:val="zh-CN"/>
        </w:rPr>
        <w:t>。</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lang w:val="zh-CN"/>
        </w:rPr>
        <w:t>（</w:t>
      </w:r>
      <w:r>
        <w:rPr>
          <w:rFonts w:hint="eastAsia" w:ascii="仿宋" w:hAnsi="仿宋" w:eastAsia="仿宋" w:cs="仿宋"/>
          <w:color w:val="auto"/>
          <w:sz w:val="24"/>
          <w:highlight w:val="none"/>
          <w:u w:val="single"/>
        </w:rPr>
        <w:t>4</w:t>
      </w:r>
      <w:r>
        <w:rPr>
          <w:rFonts w:hint="eastAsia" w:ascii="仿宋" w:hAnsi="仿宋" w:eastAsia="仿宋" w:cs="仿宋"/>
          <w:color w:val="auto"/>
          <w:sz w:val="24"/>
          <w:highlight w:val="none"/>
          <w:u w:val="single"/>
          <w:lang w:val="zh-CN"/>
        </w:rPr>
        <w:t>）</w:t>
      </w:r>
      <w:r>
        <w:rPr>
          <w:rFonts w:hint="eastAsia" w:ascii="仿宋" w:hAnsi="仿宋" w:eastAsia="仿宋" w:cs="仿宋"/>
          <w:color w:val="auto"/>
          <w:sz w:val="24"/>
          <w:highlight w:val="none"/>
          <w:u w:val="single"/>
        </w:rPr>
        <w:t>承包人应对进入施工现场的施工人员进行安全文明施工教育，配备必要的劳动保护用具，保证工程的施工安全和人身安全。</w:t>
      </w:r>
    </w:p>
    <w:p>
      <w:pPr>
        <w:spacing w:line="440" w:lineRule="exact"/>
        <w:ind w:firstLine="566" w:firstLineChars="236"/>
        <w:rPr>
          <w:rFonts w:ascii="仿宋" w:hAnsi="仿宋" w:eastAsia="仿宋" w:cs="仿宋"/>
          <w:color w:val="auto"/>
          <w:sz w:val="24"/>
          <w:highlight w:val="none"/>
          <w:u w:val="single"/>
          <w:lang w:val="zh-CN"/>
        </w:rPr>
      </w:pPr>
      <w:r>
        <w:rPr>
          <w:rFonts w:hint="eastAsia" w:ascii="仿宋" w:hAnsi="仿宋" w:eastAsia="仿宋" w:cs="仿宋"/>
          <w:color w:val="auto"/>
          <w:sz w:val="24"/>
          <w:highlight w:val="none"/>
          <w:u w:val="single"/>
        </w:rPr>
        <w:t>（5）承包人应强化安全意识，抓好安全生产，杜绝事故发生，施工人员持证上岗，施工中若发生安全及人身事故均由承包人自行负责处理，并承担全部费用，且发包人将根据严重程度有权对承包人进行处罚。</w:t>
      </w:r>
    </w:p>
    <w:p>
      <w:pPr>
        <w:spacing w:line="440" w:lineRule="exact"/>
        <w:ind w:firstLine="566" w:firstLineChars="236"/>
        <w:rPr>
          <w:rFonts w:ascii="仿宋" w:hAnsi="仿宋" w:eastAsia="仿宋" w:cs="仿宋"/>
          <w:color w:val="auto"/>
          <w:sz w:val="24"/>
          <w:highlight w:val="none"/>
          <w:u w:val="single"/>
          <w:lang w:val="zh-CN"/>
        </w:rPr>
      </w:pPr>
      <w:r>
        <w:rPr>
          <w:rFonts w:hint="eastAsia" w:ascii="仿宋" w:hAnsi="仿宋" w:eastAsia="仿宋" w:cs="仿宋"/>
          <w:color w:val="auto"/>
          <w:sz w:val="24"/>
          <w:highlight w:val="none"/>
          <w:u w:val="single"/>
          <w:lang w:val="zh-CN"/>
        </w:rPr>
        <w:t>（</w:t>
      </w:r>
      <w:r>
        <w:rPr>
          <w:rFonts w:hint="eastAsia" w:ascii="仿宋" w:hAnsi="仿宋" w:eastAsia="仿宋" w:cs="仿宋"/>
          <w:color w:val="auto"/>
          <w:sz w:val="24"/>
          <w:highlight w:val="none"/>
          <w:u w:val="single"/>
        </w:rPr>
        <w:t>5</w:t>
      </w:r>
      <w:r>
        <w:rPr>
          <w:rFonts w:hint="eastAsia" w:ascii="仿宋" w:hAnsi="仿宋" w:eastAsia="仿宋" w:cs="仿宋"/>
          <w:color w:val="auto"/>
          <w:sz w:val="24"/>
          <w:highlight w:val="none"/>
          <w:u w:val="single"/>
          <w:lang w:val="zh-CN"/>
        </w:rPr>
        <w:t xml:space="preserve">）上述手续办理费用约定如下：由承包人承担。 </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6.1.6 关于安全文明施工费支付比例和支付期限的约定，按以下</w:t>
      </w:r>
      <w:r>
        <w:rPr>
          <w:rFonts w:hint="eastAsia" w:ascii="仿宋" w:hAnsi="仿宋" w:eastAsia="仿宋" w:cs="仿宋"/>
          <w:color w:val="auto"/>
          <w:sz w:val="24"/>
          <w:highlight w:val="none"/>
          <w:u w:val="single"/>
        </w:rPr>
        <w:t>第（ 1 ）种方式</w:t>
      </w:r>
      <w:r>
        <w:rPr>
          <w:rFonts w:hint="eastAsia" w:ascii="仿宋" w:hAnsi="仿宋" w:eastAsia="仿宋" w:cs="仿宋"/>
          <w:color w:val="auto"/>
          <w:sz w:val="24"/>
          <w:highlight w:val="none"/>
        </w:rPr>
        <w:t>约定：</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 xml:space="preserve">（1）发包人应在开工后28天内预付安全文明施工费总额的60%，剩余部分支付按以下第（ ① ）种方式约定 ：                           </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①</w:t>
      </w:r>
      <w:r>
        <w:rPr>
          <w:rFonts w:hint="eastAsia" w:ascii="仿宋" w:hAnsi="仿宋" w:eastAsia="仿宋" w:cs="仿宋"/>
          <w:color w:val="auto"/>
          <w:sz w:val="24"/>
          <w:highlight w:val="none"/>
          <w:u w:val="single"/>
        </w:rPr>
        <w:t xml:space="preserve">  视相关措施的落实情况与进度款同期支付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②  其他：                                           。</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（2）其他：                                          。</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7. 工期和进度</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7.1 施工组织设计</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7.1.1 合同当事人约定的施工组织设计应包括的其他内容：</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7.1.2 施工组织设计的提交和修改</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rPr>
        <w:t>承包人提交详细施工组织设计的期限的约定：</w:t>
      </w:r>
      <w:r>
        <w:rPr>
          <w:rFonts w:hint="eastAsia" w:ascii="仿宋" w:hAnsi="仿宋" w:eastAsia="仿宋" w:cs="仿宋"/>
          <w:color w:val="auto"/>
          <w:sz w:val="24"/>
          <w:highlight w:val="none"/>
          <w:u w:val="single"/>
        </w:rPr>
        <w:t xml:space="preserve">合同签订后（10）天内提供详细施工组织设计（施工方案）和进度计划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发包人和监理人在收到详细的施工组织设计后确认或提出修改意见的期限：</w:t>
      </w:r>
      <w:r>
        <w:rPr>
          <w:rFonts w:hint="eastAsia" w:ascii="仿宋" w:hAnsi="仿宋" w:eastAsia="仿宋" w:cs="仿宋"/>
          <w:color w:val="auto"/>
          <w:sz w:val="24"/>
          <w:highlight w:val="none"/>
          <w:u w:val="single"/>
        </w:rPr>
        <w:t xml:space="preserve">接到文件后7天内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7.2 施工进度计划</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7.2.2 施工进度计划的修订</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发包人和监理人在收到修订的施工进度计划后确认或提出修改意见的期限：</w:t>
      </w:r>
      <w:r>
        <w:rPr>
          <w:rFonts w:hint="eastAsia" w:ascii="仿宋" w:hAnsi="仿宋" w:eastAsia="仿宋" w:cs="仿宋"/>
          <w:color w:val="auto"/>
          <w:sz w:val="24"/>
          <w:highlight w:val="none"/>
          <w:u w:val="single"/>
        </w:rPr>
        <w:t xml:space="preserve">  收到文件后7天内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7.3 开工</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7.3.1 开工准备</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rPr>
        <w:t>关于承包人提交工程开工报审表的期限：</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rPr>
        <w:t>关于发包人应完成的其他开工准备工作及期限：</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rPr>
        <w:t>关于承包人应完成的其他开工准备工作及期限：</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7.3.2开工通知</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因发包人原因造成监理人未能在计划开工日期之日起</w:t>
      </w:r>
      <w:r>
        <w:rPr>
          <w:rFonts w:hint="eastAsia" w:ascii="仿宋" w:hAnsi="仿宋" w:eastAsia="仿宋" w:cs="仿宋"/>
          <w:color w:val="auto"/>
          <w:sz w:val="24"/>
          <w:highlight w:val="none"/>
          <w:u w:val="single"/>
        </w:rPr>
        <w:t xml:space="preserve">60  </w:t>
      </w:r>
      <w:r>
        <w:rPr>
          <w:rFonts w:hint="eastAsia" w:ascii="仿宋" w:hAnsi="仿宋" w:eastAsia="仿宋" w:cs="仿宋"/>
          <w:color w:val="auto"/>
          <w:sz w:val="24"/>
          <w:highlight w:val="none"/>
        </w:rPr>
        <w:t>天内发出开工通知的，承包人有权提出价格调整要求，或者解除合同。</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7.4 测量放线</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rPr>
        <w:t>7.4.1发包人通过监理人向承包人提供测量基准点、基准线和水准点及其书面资料的期限：</w:t>
      </w:r>
      <w:r>
        <w:rPr>
          <w:rFonts w:hint="eastAsia" w:ascii="仿宋" w:hAnsi="仿宋" w:eastAsia="仿宋" w:cs="仿宋"/>
          <w:color w:val="auto"/>
          <w:sz w:val="24"/>
          <w:highlight w:val="none"/>
          <w:u w:val="single"/>
        </w:rPr>
        <w:t xml:space="preserve">  按有关规定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7.5 工期延误</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7.5.1 因发包人原因导致工期延误</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（7）因发包人原因导致工期延误的其他情形：</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 xml:space="preserve">①重大设计变更引起的工期延误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 xml:space="preserve">②其他：         /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7.5.2 因承包人原因导致工期延误</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rPr>
        <w:t>因承包人原因造成工期延误，逾期竣工违约金的计算方法为：</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u w:val="single"/>
        </w:rPr>
        <w:t>因承包人原因造成工期延误的（合同约定除外）按每延误一天，按500元/天计罚违约金。但不得以某种借口拖延交付使用，若有发生，承包人全额承担发包人由此产生的损失</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因承包人原因造成工期延误，逾期竣工违约金的上限：</w:t>
      </w:r>
      <w:r>
        <w:rPr>
          <w:rFonts w:hint="eastAsia" w:ascii="仿宋" w:hAnsi="仿宋" w:eastAsia="仿宋" w:cs="仿宋"/>
          <w:color w:val="auto"/>
          <w:sz w:val="24"/>
          <w:highlight w:val="none"/>
          <w:u w:val="single"/>
        </w:rPr>
        <w:t xml:space="preserve">最高不超过合同总价的10%的违约金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7.6 不利物质条件</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不利物质条件的其他情形和有关约定：</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 xml:space="preserve">（1）施工场地周围地下管线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 xml:space="preserve">（2）地下障碍物和污染物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u w:val="single"/>
        </w:rPr>
        <w:t xml:space="preserve">（3）邻近建筑物、构筑物的保护要求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（4）其他                                            。</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7.7异常恶劣的气候条件</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发包人和承包人同意以下情形视为异常恶劣的气候条件：</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u w:val="single"/>
        </w:rPr>
        <w:t xml:space="preserve">   台风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u w:val="single"/>
        </w:rPr>
        <w:t xml:space="preserve">   地震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（3）</w:t>
      </w:r>
      <w:r>
        <w:rPr>
          <w:rFonts w:hint="eastAsia" w:ascii="仿宋" w:hAnsi="仿宋" w:eastAsia="仿宋" w:cs="仿宋"/>
          <w:color w:val="auto"/>
          <w:sz w:val="24"/>
          <w:highlight w:val="none"/>
          <w:u w:val="single"/>
        </w:rPr>
        <w:t xml:space="preserve">   海啸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7.9 提前竣工的奖励</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7.9.2提前竣工的奖励：</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8. 材料与设备</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8.4材料与工程设备的保管与使用</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rPr>
        <w:t>8.4.1发包人供应的材料设备的保管费用的承担：</w:t>
      </w:r>
      <w:r>
        <w:rPr>
          <w:rFonts w:hint="eastAsia" w:ascii="仿宋" w:hAnsi="仿宋" w:eastAsia="仿宋" w:cs="仿宋"/>
          <w:color w:val="auto"/>
          <w:sz w:val="24"/>
          <w:highlight w:val="none"/>
          <w:u w:val="single"/>
        </w:rPr>
        <w:t xml:space="preserve">由承包人承担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8.6 样品</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8.6.1样品的报送与封存</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rPr>
        <w:t>需要承包人报送样品的材料或工程设备，样品的种类、名称、规格、数量要求：</w:t>
      </w:r>
      <w:r>
        <w:rPr>
          <w:rFonts w:hint="eastAsia" w:ascii="仿宋" w:hAnsi="仿宋" w:eastAsia="仿宋" w:cs="仿宋"/>
          <w:color w:val="auto"/>
          <w:sz w:val="24"/>
          <w:highlight w:val="none"/>
          <w:u w:val="single"/>
        </w:rPr>
        <w:t xml:space="preserve"> 按通用条款执行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8.8 施工设备和临时设施</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8.8.1 承包人提供的施工设备和临时设施</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rPr>
        <w:t>关于修建临时设施费用承担的约定：</w:t>
      </w:r>
      <w:r>
        <w:rPr>
          <w:rFonts w:hint="eastAsia" w:ascii="仿宋" w:hAnsi="仿宋" w:eastAsia="仿宋" w:cs="仿宋"/>
          <w:color w:val="auto"/>
          <w:sz w:val="24"/>
          <w:highlight w:val="none"/>
          <w:u w:val="single"/>
        </w:rPr>
        <w:t xml:space="preserve">  由承包人承担   </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9. 试验与检验</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9.1试验设备与试验人员</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9.1.2 试验设备</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rPr>
        <w:t>施工现场需要配置的试验场所：</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rPr>
        <w:t>施工现场需要配备的试验设备：</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rPr>
        <w:t>施工现场需要具备的其他试验条件：</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9.3材料、工程设备和工程的试验和检验</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rPr>
        <w:t>试验、检测单位资质条件约定：</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rPr>
        <w:t>试验、检测单位选择约定：</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试验、检测费用约定：</w:t>
      </w:r>
      <w:r>
        <w:rPr>
          <w:rFonts w:hint="eastAsia" w:ascii="仿宋" w:hAnsi="仿宋" w:eastAsia="仿宋" w:cs="仿宋"/>
          <w:color w:val="auto"/>
          <w:sz w:val="24"/>
          <w:highlight w:val="none"/>
          <w:u w:val="single"/>
        </w:rPr>
        <w:t xml:space="preserve">   由承包人承担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 xml:space="preserve">9.4 现场工艺试验 </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rPr>
        <w:t>现场工艺试验的有关约定：</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10. 变更</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10.1变更的范围</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rPr>
        <w:t>关于变更的范围的约定：</w:t>
      </w:r>
      <w:r>
        <w:rPr>
          <w:rFonts w:hint="eastAsia" w:ascii="仿宋" w:hAnsi="仿宋" w:eastAsia="仿宋" w:cs="仿宋"/>
          <w:color w:val="auto"/>
          <w:sz w:val="24"/>
          <w:highlight w:val="none"/>
          <w:u w:val="single"/>
        </w:rPr>
        <w:t xml:space="preserve">按通用合同条款约定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10.4 变更估价</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10.4.1 变更估价原则</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 xml:space="preserve">关于变更估价的约定: </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 xml:space="preserve">（1）已标价工程量清单或预算书有相同项目的，按照相同项目单价确定。 </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（2）已标价工程量清单或预算书中无相同项目，但有类似项目的，参照类似项目的单价确定。</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 xml:space="preserve">a、变更引起的原工程量清单中项目特征或工程内容发生部分变更时，应以原综合单价为基础，仅就变更部分相应定额子目调整综合单价，并经监理工程师审核，发包人签证同意后执行。 </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b、变更引起的原清单项目主材变更，则仅调整其主材价差价，差价为“该变更主材施工工期内各月的信息价格的平均值与投标截止日当期的该主材信息价的差价”，其余项目均不作调整。当变更的主材无信息价可以套用，按承发包双方确认的市场价计取差价，其余项目均不作调整。以上价差仅计取税金。发包人有权对材料设备的品牌进行变更，承包人应接受。</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 xml:space="preserve">（3）已标价工程量清单或预算书中无相同项目及类似项目单价的，其单价的确定，按以下约定： </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 xml:space="preserve">a、套用《浙江省建筑工程预算定额（2018）版》、《浙江省安装工程预算定额（2018）版》采用以“直接工程费＋规费＋税金”方式组价，其它管理、利润、风险等费用均不再计取。 </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 xml:space="preserve">b、“直接工程费”中的人工、机械及除主要材料外的其它材料的单价和定额消耗量参照2018版定额计取，人工、机械及主要材料价格按承包人投标文件中的价格计算，如投标文件中同一项目有不同报价的，则按低价计算；如投标文件中无此人工、机械及主要材料单价，按发包人审核后的签证价格。 </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 xml:space="preserve">c、若变更项目无法套用2018版浙江省定额，则由承包人根据市场行情上报建议综合单价，经监理单位审核后，最终以发包人签证价格为准。 </w:t>
      </w:r>
    </w:p>
    <w:p>
      <w:pPr>
        <w:spacing w:line="360" w:lineRule="auto"/>
        <w:jc w:val="left"/>
        <w:rPr>
          <w:rFonts w:ascii="仿宋" w:hAnsi="仿宋" w:eastAsia="仿宋" w:cs="仿宋"/>
          <w:b/>
          <w:color w:val="auto"/>
          <w:sz w:val="24"/>
          <w:highlight w:val="none"/>
          <w:u w:val="single"/>
        </w:rPr>
      </w:pPr>
      <w:r>
        <w:rPr>
          <w:rFonts w:hint="eastAsia" w:ascii="仿宋" w:hAnsi="仿宋" w:eastAsia="仿宋" w:cs="仿宋"/>
          <w:color w:val="auto"/>
          <w:sz w:val="24"/>
          <w:highlight w:val="none"/>
          <w:u w:val="single"/>
        </w:rPr>
        <w:t xml:space="preserve">   （4）工程量清单错误和（或）设计变更导致实际完成的工程量与已标价工程量清单或预算书中列明的该项目工程量的变化幅度超过以下情况的，其单价允许调整：凡合价金额占合同总价2%及以上的分部分项清单项目，其工程量增加或减少超过本项目工程数量15%及以上时，或者合价金额占合同总价不到2%的分部分项清单项目，但其工程量增加或减少超过本项目工程数量25%以上时。工程量偏差超过上述变化幅度之外变动部分的相应单价调整方法按以下方式约定：</w:t>
      </w:r>
      <w:r>
        <w:rPr>
          <w:rFonts w:hint="eastAsia" w:ascii="仿宋" w:hAnsi="仿宋" w:eastAsia="仿宋" w:cs="仿宋"/>
          <w:b/>
          <w:color w:val="auto"/>
          <w:sz w:val="24"/>
          <w:highlight w:val="none"/>
          <w:u w:val="single"/>
        </w:rPr>
        <w:t>（选项2）</w:t>
      </w:r>
    </w:p>
    <w:p>
      <w:pPr>
        <w:spacing w:line="360" w:lineRule="auto"/>
        <w:jc w:val="left"/>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（选项1）不调整。</w:t>
      </w:r>
    </w:p>
    <w:p>
      <w:pPr>
        <w:spacing w:line="360" w:lineRule="auto"/>
        <w:jc w:val="left"/>
        <w:rPr>
          <w:rFonts w:ascii="仿宋" w:hAnsi="仿宋" w:eastAsia="仿宋" w:cs="仿宋"/>
          <w:b/>
          <w:color w:val="auto"/>
          <w:sz w:val="24"/>
          <w:highlight w:val="none"/>
          <w:u w:val="single"/>
        </w:rPr>
      </w:pPr>
      <w:r>
        <w:rPr>
          <w:rFonts w:hint="eastAsia" w:ascii="仿宋" w:hAnsi="仿宋" w:eastAsia="仿宋" w:cs="仿宋"/>
          <w:color w:val="auto"/>
          <w:sz w:val="24"/>
          <w:highlight w:val="none"/>
          <w:u w:val="single"/>
        </w:rPr>
        <w:t>（选项2）按照《建设工程工程量清单计价规范》（GB50500-2013）9.6.2条规定，增加部分的工程量的综合单价应予调低，减少后剩余部分的工程量的综合单价应予调高，可按下列公式调整:</w:t>
      </w:r>
    </w:p>
    <w:p>
      <w:pPr>
        <w:spacing w:line="360" w:lineRule="auto"/>
        <w:jc w:val="left"/>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凡合价金额占合同总价2%及以上的分部分项清单项目，</w:t>
      </w:r>
    </w:p>
    <w:p>
      <w:pPr>
        <w:spacing w:line="360" w:lineRule="auto"/>
        <w:jc w:val="left"/>
        <w:rPr>
          <w:rFonts w:ascii="仿宋" w:hAnsi="仿宋" w:eastAsia="仿宋" w:cs="仿宋"/>
          <w:color w:val="auto"/>
          <w:sz w:val="24"/>
          <w:highlight w:val="none"/>
          <w:u w:val="single"/>
          <w:vertAlign w:val="subscript"/>
        </w:rPr>
      </w:pPr>
      <w:r>
        <w:rPr>
          <w:rFonts w:hint="eastAsia" w:ascii="仿宋" w:hAnsi="仿宋" w:eastAsia="仿宋" w:cs="仿宋"/>
          <w:color w:val="auto"/>
          <w:sz w:val="24"/>
          <w:highlight w:val="none"/>
          <w:u w:val="single"/>
        </w:rPr>
        <w:t>①当Q</w:t>
      </w:r>
      <w:r>
        <w:rPr>
          <w:rFonts w:hint="eastAsia" w:ascii="仿宋" w:hAnsi="仿宋" w:eastAsia="仿宋" w:cs="仿宋"/>
          <w:color w:val="auto"/>
          <w:sz w:val="24"/>
          <w:highlight w:val="none"/>
          <w:u w:val="single"/>
          <w:vertAlign w:val="subscript"/>
        </w:rPr>
        <w:t>1</w:t>
      </w:r>
      <w:r>
        <w:rPr>
          <w:rFonts w:hint="eastAsia" w:ascii="仿宋" w:hAnsi="仿宋" w:eastAsia="仿宋" w:cs="仿宋"/>
          <w:color w:val="auto"/>
          <w:sz w:val="24"/>
          <w:highlight w:val="none"/>
          <w:u w:val="single"/>
        </w:rPr>
        <w:t>&gt;1.15Q</w:t>
      </w:r>
      <w:r>
        <w:rPr>
          <w:rFonts w:hint="eastAsia" w:ascii="仿宋" w:hAnsi="仿宋" w:eastAsia="仿宋" w:cs="仿宋"/>
          <w:color w:val="auto"/>
          <w:sz w:val="24"/>
          <w:highlight w:val="none"/>
          <w:u w:val="single"/>
          <w:vertAlign w:val="subscript"/>
        </w:rPr>
        <w:t>0</w:t>
      </w:r>
      <w:r>
        <w:rPr>
          <w:rFonts w:hint="eastAsia" w:ascii="仿宋" w:hAnsi="仿宋" w:eastAsia="仿宋" w:cs="仿宋"/>
          <w:color w:val="auto"/>
          <w:sz w:val="24"/>
          <w:highlight w:val="none"/>
          <w:u w:val="single"/>
        </w:rPr>
        <w:t>时:       S=1.15Q</w:t>
      </w:r>
      <w:r>
        <w:rPr>
          <w:rFonts w:hint="eastAsia" w:ascii="仿宋" w:hAnsi="仿宋" w:eastAsia="仿宋" w:cs="仿宋"/>
          <w:color w:val="auto"/>
          <w:sz w:val="24"/>
          <w:highlight w:val="none"/>
          <w:u w:val="single"/>
          <w:vertAlign w:val="subscript"/>
        </w:rPr>
        <w:t>0</w:t>
      </w:r>
      <w:r>
        <w:rPr>
          <w:rFonts w:hint="eastAsia" w:ascii="仿宋" w:hAnsi="仿宋" w:eastAsia="仿宋" w:cs="仿宋"/>
          <w:color w:val="auto"/>
          <w:sz w:val="24"/>
          <w:highlight w:val="none"/>
          <w:u w:val="single"/>
        </w:rPr>
        <w:t>×P</w:t>
      </w:r>
      <w:r>
        <w:rPr>
          <w:rFonts w:hint="eastAsia" w:ascii="仿宋" w:hAnsi="仿宋" w:eastAsia="仿宋" w:cs="仿宋"/>
          <w:color w:val="auto"/>
          <w:sz w:val="24"/>
          <w:highlight w:val="none"/>
          <w:u w:val="single"/>
          <w:vertAlign w:val="subscript"/>
        </w:rPr>
        <w:t>0</w:t>
      </w:r>
      <w:r>
        <w:rPr>
          <w:rFonts w:hint="eastAsia" w:ascii="仿宋" w:hAnsi="仿宋" w:eastAsia="仿宋" w:cs="仿宋"/>
          <w:color w:val="auto"/>
          <w:sz w:val="24"/>
          <w:highlight w:val="none"/>
          <w:u w:val="single"/>
        </w:rPr>
        <w:t>+（Q</w:t>
      </w:r>
      <w:r>
        <w:rPr>
          <w:rFonts w:hint="eastAsia" w:ascii="仿宋" w:hAnsi="仿宋" w:eastAsia="仿宋" w:cs="仿宋"/>
          <w:color w:val="auto"/>
          <w:sz w:val="24"/>
          <w:highlight w:val="none"/>
          <w:u w:val="single"/>
          <w:vertAlign w:val="subscript"/>
        </w:rPr>
        <w:t>1</w:t>
      </w:r>
      <w:r>
        <w:rPr>
          <w:rFonts w:hint="eastAsia" w:ascii="仿宋" w:hAnsi="仿宋" w:eastAsia="仿宋" w:cs="仿宋"/>
          <w:color w:val="auto"/>
          <w:sz w:val="24"/>
          <w:highlight w:val="none"/>
          <w:u w:val="single"/>
        </w:rPr>
        <w:t>-1.15 Q</w:t>
      </w:r>
      <w:r>
        <w:rPr>
          <w:rFonts w:hint="eastAsia" w:ascii="仿宋" w:hAnsi="仿宋" w:eastAsia="仿宋" w:cs="仿宋"/>
          <w:color w:val="auto"/>
          <w:sz w:val="24"/>
          <w:highlight w:val="none"/>
          <w:u w:val="single"/>
          <w:vertAlign w:val="subscript"/>
        </w:rPr>
        <w:t>0</w:t>
      </w:r>
      <w:r>
        <w:rPr>
          <w:rFonts w:hint="eastAsia" w:ascii="仿宋" w:hAnsi="仿宋" w:eastAsia="仿宋" w:cs="仿宋"/>
          <w:color w:val="auto"/>
          <w:sz w:val="24"/>
          <w:highlight w:val="none"/>
          <w:u w:val="single"/>
        </w:rPr>
        <w:t>）×P</w:t>
      </w:r>
      <w:r>
        <w:rPr>
          <w:rFonts w:hint="eastAsia" w:ascii="仿宋" w:hAnsi="仿宋" w:eastAsia="仿宋" w:cs="仿宋"/>
          <w:color w:val="auto"/>
          <w:sz w:val="24"/>
          <w:highlight w:val="none"/>
          <w:u w:val="single"/>
          <w:vertAlign w:val="subscript"/>
        </w:rPr>
        <w:t>1</w:t>
      </w:r>
    </w:p>
    <w:p>
      <w:pPr>
        <w:spacing w:line="360" w:lineRule="auto"/>
        <w:jc w:val="left"/>
        <w:rPr>
          <w:rFonts w:ascii="仿宋" w:hAnsi="仿宋" w:eastAsia="仿宋" w:cs="仿宋"/>
          <w:color w:val="auto"/>
          <w:sz w:val="24"/>
          <w:highlight w:val="none"/>
          <w:u w:val="single"/>
          <w:vertAlign w:val="subscript"/>
        </w:rPr>
      </w:pPr>
      <w:r>
        <w:rPr>
          <w:rFonts w:hint="eastAsia" w:ascii="仿宋" w:hAnsi="仿宋" w:eastAsia="仿宋" w:cs="仿宋"/>
          <w:color w:val="auto"/>
          <w:sz w:val="24"/>
          <w:highlight w:val="none"/>
          <w:u w:val="single"/>
        </w:rPr>
        <w:t>②当Q</w:t>
      </w:r>
      <w:r>
        <w:rPr>
          <w:rFonts w:hint="eastAsia" w:ascii="仿宋" w:hAnsi="仿宋" w:eastAsia="仿宋" w:cs="仿宋"/>
          <w:color w:val="auto"/>
          <w:sz w:val="24"/>
          <w:highlight w:val="none"/>
          <w:u w:val="single"/>
          <w:vertAlign w:val="subscript"/>
        </w:rPr>
        <w:t>1</w:t>
      </w:r>
      <w:r>
        <w:rPr>
          <w:rFonts w:hint="eastAsia" w:ascii="仿宋" w:hAnsi="仿宋" w:eastAsia="仿宋" w:cs="仿宋"/>
          <w:color w:val="auto"/>
          <w:sz w:val="24"/>
          <w:highlight w:val="none"/>
          <w:u w:val="single"/>
        </w:rPr>
        <w:t>&lt;0.85Q</w:t>
      </w:r>
      <w:r>
        <w:rPr>
          <w:rFonts w:hint="eastAsia" w:ascii="仿宋" w:hAnsi="仿宋" w:eastAsia="仿宋" w:cs="仿宋"/>
          <w:color w:val="auto"/>
          <w:sz w:val="24"/>
          <w:highlight w:val="none"/>
          <w:u w:val="single"/>
          <w:vertAlign w:val="subscript"/>
        </w:rPr>
        <w:t>0</w:t>
      </w:r>
      <w:r>
        <w:rPr>
          <w:rFonts w:hint="eastAsia" w:ascii="仿宋" w:hAnsi="仿宋" w:eastAsia="仿宋" w:cs="仿宋"/>
          <w:color w:val="auto"/>
          <w:sz w:val="24"/>
          <w:highlight w:val="none"/>
          <w:u w:val="single"/>
        </w:rPr>
        <w:t>时:       S=Q</w:t>
      </w:r>
      <w:r>
        <w:rPr>
          <w:rFonts w:hint="eastAsia" w:ascii="仿宋" w:hAnsi="仿宋" w:eastAsia="仿宋" w:cs="仿宋"/>
          <w:color w:val="auto"/>
          <w:sz w:val="24"/>
          <w:highlight w:val="none"/>
          <w:u w:val="single"/>
          <w:vertAlign w:val="subscript"/>
        </w:rPr>
        <w:t>1</w:t>
      </w:r>
      <w:r>
        <w:rPr>
          <w:rFonts w:hint="eastAsia" w:ascii="仿宋" w:hAnsi="仿宋" w:eastAsia="仿宋" w:cs="仿宋"/>
          <w:color w:val="auto"/>
          <w:sz w:val="24"/>
          <w:highlight w:val="none"/>
          <w:u w:val="single"/>
        </w:rPr>
        <w:t>×P</w:t>
      </w:r>
      <w:r>
        <w:rPr>
          <w:rFonts w:hint="eastAsia" w:ascii="仿宋" w:hAnsi="仿宋" w:eastAsia="仿宋" w:cs="仿宋"/>
          <w:color w:val="auto"/>
          <w:sz w:val="24"/>
          <w:highlight w:val="none"/>
          <w:u w:val="single"/>
          <w:vertAlign w:val="subscript"/>
        </w:rPr>
        <w:t>1</w:t>
      </w:r>
    </w:p>
    <w:p>
      <w:pPr>
        <w:spacing w:line="360" w:lineRule="auto"/>
        <w:jc w:val="left"/>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凡合价金额占合同总价不到2%的分部分项清单项目，</w:t>
      </w:r>
    </w:p>
    <w:p>
      <w:pPr>
        <w:spacing w:line="360" w:lineRule="auto"/>
        <w:jc w:val="left"/>
        <w:rPr>
          <w:rFonts w:ascii="仿宋" w:hAnsi="仿宋" w:eastAsia="仿宋" w:cs="仿宋"/>
          <w:color w:val="auto"/>
          <w:sz w:val="24"/>
          <w:highlight w:val="none"/>
          <w:u w:val="single"/>
          <w:vertAlign w:val="subscript"/>
        </w:rPr>
      </w:pPr>
      <w:r>
        <w:rPr>
          <w:rFonts w:hint="eastAsia" w:ascii="仿宋" w:hAnsi="仿宋" w:eastAsia="仿宋" w:cs="仿宋"/>
          <w:color w:val="auto"/>
          <w:sz w:val="24"/>
          <w:highlight w:val="none"/>
          <w:u w:val="single"/>
        </w:rPr>
        <w:t>③当Q</w:t>
      </w:r>
      <w:r>
        <w:rPr>
          <w:rFonts w:hint="eastAsia" w:ascii="仿宋" w:hAnsi="仿宋" w:eastAsia="仿宋" w:cs="仿宋"/>
          <w:color w:val="auto"/>
          <w:sz w:val="24"/>
          <w:highlight w:val="none"/>
          <w:u w:val="single"/>
          <w:vertAlign w:val="subscript"/>
        </w:rPr>
        <w:t>1</w:t>
      </w:r>
      <w:r>
        <w:rPr>
          <w:rFonts w:hint="eastAsia" w:ascii="仿宋" w:hAnsi="仿宋" w:eastAsia="仿宋" w:cs="仿宋"/>
          <w:color w:val="auto"/>
          <w:sz w:val="24"/>
          <w:highlight w:val="none"/>
          <w:u w:val="single"/>
        </w:rPr>
        <w:t>&gt;1.25Q</w:t>
      </w:r>
      <w:r>
        <w:rPr>
          <w:rFonts w:hint="eastAsia" w:ascii="仿宋" w:hAnsi="仿宋" w:eastAsia="仿宋" w:cs="仿宋"/>
          <w:color w:val="auto"/>
          <w:sz w:val="24"/>
          <w:highlight w:val="none"/>
          <w:u w:val="single"/>
          <w:vertAlign w:val="subscript"/>
        </w:rPr>
        <w:t>0</w:t>
      </w:r>
      <w:r>
        <w:rPr>
          <w:rFonts w:hint="eastAsia" w:ascii="仿宋" w:hAnsi="仿宋" w:eastAsia="仿宋" w:cs="仿宋"/>
          <w:color w:val="auto"/>
          <w:sz w:val="24"/>
          <w:highlight w:val="none"/>
          <w:u w:val="single"/>
        </w:rPr>
        <w:t>时:       S=1.25Q</w:t>
      </w:r>
      <w:r>
        <w:rPr>
          <w:rFonts w:hint="eastAsia" w:ascii="仿宋" w:hAnsi="仿宋" w:eastAsia="仿宋" w:cs="仿宋"/>
          <w:color w:val="auto"/>
          <w:sz w:val="24"/>
          <w:highlight w:val="none"/>
          <w:u w:val="single"/>
          <w:vertAlign w:val="subscript"/>
        </w:rPr>
        <w:t>0</w:t>
      </w:r>
      <w:r>
        <w:rPr>
          <w:rFonts w:hint="eastAsia" w:ascii="仿宋" w:hAnsi="仿宋" w:eastAsia="仿宋" w:cs="仿宋"/>
          <w:color w:val="auto"/>
          <w:sz w:val="24"/>
          <w:highlight w:val="none"/>
          <w:u w:val="single"/>
        </w:rPr>
        <w:t>×P</w:t>
      </w:r>
      <w:r>
        <w:rPr>
          <w:rFonts w:hint="eastAsia" w:ascii="仿宋" w:hAnsi="仿宋" w:eastAsia="仿宋" w:cs="仿宋"/>
          <w:color w:val="auto"/>
          <w:sz w:val="24"/>
          <w:highlight w:val="none"/>
          <w:u w:val="single"/>
          <w:vertAlign w:val="subscript"/>
        </w:rPr>
        <w:t>0</w:t>
      </w:r>
      <w:r>
        <w:rPr>
          <w:rFonts w:hint="eastAsia" w:ascii="仿宋" w:hAnsi="仿宋" w:eastAsia="仿宋" w:cs="仿宋"/>
          <w:color w:val="auto"/>
          <w:sz w:val="24"/>
          <w:highlight w:val="none"/>
          <w:u w:val="single"/>
        </w:rPr>
        <w:t>+（Q</w:t>
      </w:r>
      <w:r>
        <w:rPr>
          <w:rFonts w:hint="eastAsia" w:ascii="仿宋" w:hAnsi="仿宋" w:eastAsia="仿宋" w:cs="仿宋"/>
          <w:color w:val="auto"/>
          <w:sz w:val="24"/>
          <w:highlight w:val="none"/>
          <w:u w:val="single"/>
          <w:vertAlign w:val="subscript"/>
        </w:rPr>
        <w:t>1</w:t>
      </w:r>
      <w:r>
        <w:rPr>
          <w:rFonts w:hint="eastAsia" w:ascii="仿宋" w:hAnsi="仿宋" w:eastAsia="仿宋" w:cs="仿宋"/>
          <w:color w:val="auto"/>
          <w:sz w:val="24"/>
          <w:highlight w:val="none"/>
          <w:u w:val="single"/>
        </w:rPr>
        <w:t>-1.25 Q</w:t>
      </w:r>
      <w:r>
        <w:rPr>
          <w:rFonts w:hint="eastAsia" w:ascii="仿宋" w:hAnsi="仿宋" w:eastAsia="仿宋" w:cs="仿宋"/>
          <w:color w:val="auto"/>
          <w:sz w:val="24"/>
          <w:highlight w:val="none"/>
          <w:u w:val="single"/>
          <w:vertAlign w:val="subscript"/>
        </w:rPr>
        <w:t>0</w:t>
      </w:r>
      <w:r>
        <w:rPr>
          <w:rFonts w:hint="eastAsia" w:ascii="仿宋" w:hAnsi="仿宋" w:eastAsia="仿宋" w:cs="仿宋"/>
          <w:color w:val="auto"/>
          <w:sz w:val="24"/>
          <w:highlight w:val="none"/>
          <w:u w:val="single"/>
        </w:rPr>
        <w:t>）×P</w:t>
      </w:r>
      <w:r>
        <w:rPr>
          <w:rFonts w:hint="eastAsia" w:ascii="仿宋" w:hAnsi="仿宋" w:eastAsia="仿宋" w:cs="仿宋"/>
          <w:color w:val="auto"/>
          <w:sz w:val="24"/>
          <w:highlight w:val="none"/>
          <w:u w:val="single"/>
          <w:vertAlign w:val="subscript"/>
        </w:rPr>
        <w:t>1</w:t>
      </w:r>
    </w:p>
    <w:p>
      <w:pPr>
        <w:spacing w:line="360" w:lineRule="auto"/>
        <w:jc w:val="left"/>
        <w:rPr>
          <w:rFonts w:ascii="仿宋" w:hAnsi="仿宋" w:eastAsia="仿宋" w:cs="仿宋"/>
          <w:color w:val="auto"/>
          <w:sz w:val="24"/>
          <w:highlight w:val="none"/>
          <w:u w:val="single"/>
          <w:vertAlign w:val="subscript"/>
        </w:rPr>
      </w:pPr>
      <w:r>
        <w:rPr>
          <w:rFonts w:hint="eastAsia" w:ascii="仿宋" w:hAnsi="仿宋" w:eastAsia="仿宋" w:cs="仿宋"/>
          <w:color w:val="auto"/>
          <w:sz w:val="24"/>
          <w:highlight w:val="none"/>
          <w:u w:val="single"/>
        </w:rPr>
        <w:t>④当Q</w:t>
      </w:r>
      <w:r>
        <w:rPr>
          <w:rFonts w:hint="eastAsia" w:ascii="仿宋" w:hAnsi="仿宋" w:eastAsia="仿宋" w:cs="仿宋"/>
          <w:color w:val="auto"/>
          <w:sz w:val="24"/>
          <w:highlight w:val="none"/>
          <w:u w:val="single"/>
          <w:vertAlign w:val="subscript"/>
        </w:rPr>
        <w:t>1</w:t>
      </w:r>
      <w:r>
        <w:rPr>
          <w:rFonts w:hint="eastAsia" w:ascii="仿宋" w:hAnsi="仿宋" w:eastAsia="仿宋" w:cs="仿宋"/>
          <w:color w:val="auto"/>
          <w:sz w:val="24"/>
          <w:highlight w:val="none"/>
          <w:u w:val="single"/>
        </w:rPr>
        <w:t>&lt;0.75Q</w:t>
      </w:r>
      <w:r>
        <w:rPr>
          <w:rFonts w:hint="eastAsia" w:ascii="仿宋" w:hAnsi="仿宋" w:eastAsia="仿宋" w:cs="仿宋"/>
          <w:color w:val="auto"/>
          <w:sz w:val="24"/>
          <w:highlight w:val="none"/>
          <w:u w:val="single"/>
          <w:vertAlign w:val="subscript"/>
        </w:rPr>
        <w:t>0</w:t>
      </w:r>
      <w:r>
        <w:rPr>
          <w:rFonts w:hint="eastAsia" w:ascii="仿宋" w:hAnsi="仿宋" w:eastAsia="仿宋" w:cs="仿宋"/>
          <w:color w:val="auto"/>
          <w:sz w:val="24"/>
          <w:highlight w:val="none"/>
          <w:u w:val="single"/>
        </w:rPr>
        <w:t>时:       S=Q</w:t>
      </w:r>
      <w:r>
        <w:rPr>
          <w:rFonts w:hint="eastAsia" w:ascii="仿宋" w:hAnsi="仿宋" w:eastAsia="仿宋" w:cs="仿宋"/>
          <w:color w:val="auto"/>
          <w:sz w:val="24"/>
          <w:highlight w:val="none"/>
          <w:u w:val="single"/>
          <w:vertAlign w:val="subscript"/>
        </w:rPr>
        <w:t>1</w:t>
      </w:r>
      <w:r>
        <w:rPr>
          <w:rFonts w:hint="eastAsia" w:ascii="仿宋" w:hAnsi="仿宋" w:eastAsia="仿宋" w:cs="仿宋"/>
          <w:color w:val="auto"/>
          <w:sz w:val="24"/>
          <w:highlight w:val="none"/>
          <w:u w:val="single"/>
        </w:rPr>
        <w:t>×P</w:t>
      </w:r>
      <w:r>
        <w:rPr>
          <w:rFonts w:hint="eastAsia" w:ascii="仿宋" w:hAnsi="仿宋" w:eastAsia="仿宋" w:cs="仿宋"/>
          <w:color w:val="auto"/>
          <w:sz w:val="24"/>
          <w:highlight w:val="none"/>
          <w:u w:val="single"/>
          <w:vertAlign w:val="subscript"/>
        </w:rPr>
        <w:t>1</w:t>
      </w:r>
    </w:p>
    <w:p>
      <w:pPr>
        <w:spacing w:line="360" w:lineRule="auto"/>
        <w:jc w:val="left"/>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式中 S——调整后某一分部分项工程费结算价；</w:t>
      </w:r>
    </w:p>
    <w:p>
      <w:pPr>
        <w:spacing w:line="360" w:lineRule="auto"/>
        <w:jc w:val="left"/>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 xml:space="preserve">     Q</w:t>
      </w:r>
      <w:r>
        <w:rPr>
          <w:rFonts w:hint="eastAsia" w:ascii="仿宋" w:hAnsi="仿宋" w:eastAsia="仿宋" w:cs="仿宋"/>
          <w:color w:val="auto"/>
          <w:sz w:val="24"/>
          <w:highlight w:val="none"/>
          <w:u w:val="single"/>
          <w:vertAlign w:val="subscript"/>
        </w:rPr>
        <w:t>1</w:t>
      </w:r>
      <w:r>
        <w:rPr>
          <w:rFonts w:hint="eastAsia" w:ascii="仿宋" w:hAnsi="仿宋" w:eastAsia="仿宋" w:cs="仿宋"/>
          <w:color w:val="auto"/>
          <w:sz w:val="24"/>
          <w:highlight w:val="none"/>
          <w:u w:val="single"/>
        </w:rPr>
        <w:t>——最终完成的工程量；</w:t>
      </w:r>
    </w:p>
    <w:p>
      <w:pPr>
        <w:spacing w:line="360" w:lineRule="auto"/>
        <w:jc w:val="left"/>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 xml:space="preserve">     Q</w:t>
      </w:r>
      <w:r>
        <w:rPr>
          <w:rFonts w:hint="eastAsia" w:ascii="仿宋" w:hAnsi="仿宋" w:eastAsia="仿宋" w:cs="仿宋"/>
          <w:color w:val="auto"/>
          <w:sz w:val="24"/>
          <w:highlight w:val="none"/>
          <w:u w:val="single"/>
          <w:vertAlign w:val="subscript"/>
        </w:rPr>
        <w:t>0</w:t>
      </w:r>
      <w:r>
        <w:rPr>
          <w:rFonts w:hint="eastAsia" w:ascii="仿宋" w:hAnsi="仿宋" w:eastAsia="仿宋" w:cs="仿宋"/>
          <w:color w:val="auto"/>
          <w:sz w:val="24"/>
          <w:highlight w:val="none"/>
          <w:u w:val="single"/>
        </w:rPr>
        <w:t>——招标工程量清单中列出的工程量；</w:t>
      </w:r>
    </w:p>
    <w:p>
      <w:pPr>
        <w:spacing w:line="360" w:lineRule="auto"/>
        <w:jc w:val="left"/>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 xml:space="preserve">     P</w:t>
      </w:r>
      <w:r>
        <w:rPr>
          <w:rFonts w:hint="eastAsia" w:ascii="仿宋" w:hAnsi="仿宋" w:eastAsia="仿宋" w:cs="仿宋"/>
          <w:color w:val="auto"/>
          <w:sz w:val="24"/>
          <w:highlight w:val="none"/>
          <w:u w:val="single"/>
          <w:vertAlign w:val="subscript"/>
        </w:rPr>
        <w:t>0</w:t>
      </w:r>
      <w:r>
        <w:rPr>
          <w:rFonts w:hint="eastAsia" w:ascii="仿宋" w:hAnsi="仿宋" w:eastAsia="仿宋" w:cs="仿宋"/>
          <w:color w:val="auto"/>
          <w:sz w:val="24"/>
          <w:highlight w:val="none"/>
          <w:u w:val="single"/>
        </w:rPr>
        <w:t>——承包人在已标价工程量清单中填报的综合单价</w:t>
      </w:r>
    </w:p>
    <w:p>
      <w:pPr>
        <w:spacing w:line="360" w:lineRule="exact"/>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 xml:space="preserve">     P</w:t>
      </w:r>
      <w:r>
        <w:rPr>
          <w:rFonts w:hint="eastAsia" w:ascii="仿宋" w:hAnsi="仿宋" w:eastAsia="仿宋" w:cs="仿宋"/>
          <w:color w:val="auto"/>
          <w:sz w:val="24"/>
          <w:highlight w:val="none"/>
          <w:u w:val="single"/>
          <w:vertAlign w:val="subscript"/>
        </w:rPr>
        <w:t>1</w:t>
      </w:r>
      <w:r>
        <w:rPr>
          <w:rFonts w:hint="eastAsia" w:ascii="仿宋" w:hAnsi="仿宋" w:eastAsia="仿宋" w:cs="仿宋"/>
          <w:color w:val="auto"/>
          <w:sz w:val="24"/>
          <w:highlight w:val="none"/>
          <w:u w:val="single"/>
        </w:rPr>
        <w:t>——按照最终完成工程量重新调整后的综合单价，按本合同第10.4.1条   （3）款计算结果和P</w:t>
      </w:r>
      <w:r>
        <w:rPr>
          <w:rFonts w:hint="eastAsia" w:ascii="仿宋" w:hAnsi="仿宋" w:eastAsia="仿宋" w:cs="仿宋"/>
          <w:color w:val="auto"/>
          <w:sz w:val="24"/>
          <w:highlight w:val="none"/>
          <w:u w:val="single"/>
          <w:vertAlign w:val="subscript"/>
        </w:rPr>
        <w:t>0</w:t>
      </w:r>
      <w:r>
        <w:rPr>
          <w:rFonts w:hint="eastAsia" w:ascii="仿宋" w:hAnsi="仿宋" w:eastAsia="仿宋" w:cs="仿宋"/>
          <w:color w:val="auto"/>
          <w:sz w:val="24"/>
          <w:highlight w:val="none"/>
          <w:u w:val="single"/>
        </w:rPr>
        <w:t>比较，在工程量增加时，若计算结果大于P</w:t>
      </w:r>
      <w:r>
        <w:rPr>
          <w:rFonts w:hint="eastAsia" w:ascii="仿宋" w:hAnsi="仿宋" w:eastAsia="仿宋" w:cs="仿宋"/>
          <w:color w:val="auto"/>
          <w:sz w:val="24"/>
          <w:highlight w:val="none"/>
          <w:u w:val="single"/>
          <w:vertAlign w:val="subscript"/>
        </w:rPr>
        <w:t>0</w:t>
      </w:r>
      <w:r>
        <w:rPr>
          <w:rFonts w:hint="eastAsia" w:ascii="仿宋" w:hAnsi="仿宋" w:eastAsia="仿宋" w:cs="仿宋"/>
          <w:color w:val="auto"/>
          <w:sz w:val="24"/>
          <w:highlight w:val="none"/>
          <w:u w:val="single"/>
        </w:rPr>
        <w:t>的,取 P</w:t>
      </w:r>
      <w:r>
        <w:rPr>
          <w:rFonts w:hint="eastAsia" w:ascii="仿宋" w:hAnsi="仿宋" w:eastAsia="仿宋" w:cs="仿宋"/>
          <w:color w:val="auto"/>
          <w:sz w:val="24"/>
          <w:highlight w:val="none"/>
          <w:u w:val="single"/>
          <w:vertAlign w:val="subscript"/>
        </w:rPr>
        <w:t>1</w:t>
      </w:r>
      <w:r>
        <w:rPr>
          <w:rFonts w:hint="eastAsia" w:ascii="仿宋" w:hAnsi="仿宋" w:eastAsia="仿宋" w:cs="仿宋"/>
          <w:color w:val="auto"/>
          <w:sz w:val="24"/>
          <w:highlight w:val="none"/>
          <w:u w:val="single"/>
        </w:rPr>
        <w:t>= P</w:t>
      </w:r>
      <w:r>
        <w:rPr>
          <w:rFonts w:hint="eastAsia" w:ascii="仿宋" w:hAnsi="仿宋" w:eastAsia="仿宋" w:cs="仿宋"/>
          <w:color w:val="auto"/>
          <w:sz w:val="24"/>
          <w:highlight w:val="none"/>
          <w:u w:val="single"/>
          <w:vertAlign w:val="subscript"/>
        </w:rPr>
        <w:t>0</w:t>
      </w:r>
      <w:r>
        <w:rPr>
          <w:rFonts w:hint="eastAsia" w:ascii="仿宋" w:hAnsi="仿宋" w:eastAsia="仿宋" w:cs="仿宋"/>
          <w:color w:val="auto"/>
          <w:sz w:val="24"/>
          <w:highlight w:val="none"/>
          <w:u w:val="single"/>
        </w:rPr>
        <w:t>，在工程量减少时，若计算结果小于P</w:t>
      </w:r>
      <w:r>
        <w:rPr>
          <w:rFonts w:hint="eastAsia" w:ascii="仿宋" w:hAnsi="仿宋" w:eastAsia="仿宋" w:cs="仿宋"/>
          <w:color w:val="auto"/>
          <w:sz w:val="24"/>
          <w:highlight w:val="none"/>
          <w:u w:val="single"/>
          <w:vertAlign w:val="subscript"/>
        </w:rPr>
        <w:t>0</w:t>
      </w:r>
      <w:r>
        <w:rPr>
          <w:rFonts w:hint="eastAsia" w:ascii="仿宋" w:hAnsi="仿宋" w:eastAsia="仿宋" w:cs="仿宋"/>
          <w:color w:val="auto"/>
          <w:sz w:val="24"/>
          <w:highlight w:val="none"/>
          <w:u w:val="single"/>
        </w:rPr>
        <w:t>的, 取P</w:t>
      </w:r>
      <w:r>
        <w:rPr>
          <w:rFonts w:hint="eastAsia" w:ascii="仿宋" w:hAnsi="仿宋" w:eastAsia="仿宋" w:cs="仿宋"/>
          <w:color w:val="auto"/>
          <w:sz w:val="24"/>
          <w:highlight w:val="none"/>
          <w:u w:val="single"/>
          <w:vertAlign w:val="subscript"/>
        </w:rPr>
        <w:t>1</w:t>
      </w:r>
      <w:r>
        <w:rPr>
          <w:rFonts w:hint="eastAsia" w:ascii="仿宋" w:hAnsi="仿宋" w:eastAsia="仿宋" w:cs="仿宋"/>
          <w:color w:val="auto"/>
          <w:sz w:val="24"/>
          <w:highlight w:val="none"/>
          <w:u w:val="single"/>
        </w:rPr>
        <w:t>= P</w:t>
      </w:r>
      <w:r>
        <w:rPr>
          <w:rFonts w:hint="eastAsia" w:ascii="仿宋" w:hAnsi="仿宋" w:eastAsia="仿宋" w:cs="仿宋"/>
          <w:color w:val="auto"/>
          <w:sz w:val="24"/>
          <w:highlight w:val="none"/>
          <w:u w:val="single"/>
          <w:vertAlign w:val="subscript"/>
        </w:rPr>
        <w:t>0</w:t>
      </w:r>
      <w:r>
        <w:rPr>
          <w:rFonts w:hint="eastAsia" w:ascii="仿宋" w:hAnsi="仿宋" w:eastAsia="仿宋" w:cs="仿宋"/>
          <w:color w:val="auto"/>
          <w:sz w:val="24"/>
          <w:highlight w:val="none"/>
          <w:u w:val="single"/>
        </w:rPr>
        <w:t>。</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（选项3）</w:t>
      </w:r>
      <w:r>
        <w:rPr>
          <w:rFonts w:hint="eastAsia" w:ascii="仿宋" w:hAnsi="仿宋" w:eastAsia="仿宋" w:cs="仿宋"/>
          <w:b/>
          <w:color w:val="auto"/>
          <w:sz w:val="24"/>
          <w:highlight w:val="none"/>
          <w:u w:val="single"/>
        </w:rPr>
        <w:t>凡合价金额占合同总价2%及以上的分部分项清单项目，其工程量增加或减少超过本项目工程数量15%及以上时，</w:t>
      </w:r>
      <w:r>
        <w:rPr>
          <w:rFonts w:hint="eastAsia" w:ascii="仿宋" w:hAnsi="仿宋" w:eastAsia="仿宋" w:cs="仿宋"/>
          <w:color w:val="auto"/>
          <w:sz w:val="24"/>
          <w:highlight w:val="none"/>
          <w:u w:val="single"/>
        </w:rPr>
        <w:t>套用浙江省2018版预算定额和费用定额或现行相应专业定额，综合费用按相应类别工程费率的中限计取，规费、税金、农民工工伤保险按投标口径执行；材料价格有投标价的执行投标价，无投标价的执行合同工期前80%的信息价平均值，对当地信息价正刊没有公布的材料，发包人应在充分市场询价基础上，参照同期同类材料市场价格水平，按照相关规定审批程序签证确定；当零星工程发生签证台班数量，机械单价有投标价的执行投标价，无投标价的执行预算定额单价；按照上述方法计算后予以6%的优惠幅度得出结算价格。</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（5）其他：</w:t>
      </w:r>
    </w:p>
    <w:p>
      <w:pPr>
        <w:spacing w:line="440" w:lineRule="exact"/>
        <w:jc w:val="left"/>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①工程量必须按照《建设工程工程量清单计价规范》（GB50500-2013）规定的工程量计算规则计算。工程量必须以承包人完成合同工程应予计量的工程量确定。最终结算工程量应首先报监理及发包人审核。</w:t>
      </w:r>
    </w:p>
    <w:p>
      <w:pPr>
        <w:spacing w:after="62" w:afterLines="20" w:line="440" w:lineRule="exact"/>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②本合同专用条款1.1.1.10中的“施工组织设计”是指承包人在投标书中制定的相关技术、经济和施工组织的综合性文件。施工组织措施费、施工技术措施费在招标范围未发生变化情况下，不做调整。在招标范围发生重大变化或重大设计变更引起施工技术措施项目费增加或减少时，根据相关工程变更依据进行相应调整，原措施费项目清单中已有的措施项目，按原有措施费的组价方法或单价调整；原措施费项目清单中没有的措施项目，组价方法按前述第10.4.1条（3）约定执行。如有甩项工程，发包人将对承包人未实际投入的施工组织措施费和技术措施费按上述方法予以扣除。</w:t>
      </w:r>
    </w:p>
    <w:p>
      <w:pPr>
        <w:spacing w:after="62" w:afterLines="20" w:line="440" w:lineRule="exact"/>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③工程量清单项目特征描述的分项工程内容均应计入综合单价报价，若承包人提供的分部分项工程量综合单价计算表及综合单价工料机分析表没有详尽分析的，发包人将对实际未实施的分项工程予以扣除，扣除部分的价格参考前述第10.4.1条（3）约定，结合投标报价水平确定。</w:t>
      </w:r>
    </w:p>
    <w:p>
      <w:pPr>
        <w:spacing w:line="440" w:lineRule="exact"/>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④现有管线、邻近建筑物、构筑物（含文物保护建筑）、古树名木等的保护费计算。招标时已明确的，其保护费用承包人应根据发包人提供的交底资料，结合现场探勘，充分考虑施工难度，计入报价，包干使用。实施过程中新发现的，其保护费用按实计算，计算口径按前述第10.4.1条（3）约定执行。</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10.5承包人的合理化建议</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监理人审查承包人合理化建议的期限：</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发包人审批承包人合理化建议的期限：</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rPr>
        <w:t>承包人提出的合理化建议降低了合同价格或者提高了工程经济效益的奖励的方法和金额为：</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10.7 暂估价</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暂估价材料和工程设备的明细详见附件11：《暂估价一览表》。</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10.7.1 依法必须招标的暂估价项目</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对于依法必须招标的暂估价项目的确认和批准采取第</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rPr>
        <w:t>种方式确定。</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10.7.2 不属于依法必须招标的暂估价项目</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对于不属于依法必须招标的暂估价项目的确认和批准采取第</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rPr>
        <w:t xml:space="preserve"> 种方式确定。</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第3种方式：承包人直接实施的暂估价项目</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承包人直接实施的暂估价项目的约定：</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10.8 暂列金额</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rPr>
        <w:t>合同当事人关于暂列金额使用的约定：</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11. 价格调整</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11.1 市场价格波动引起的调整</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市场价格波动是否调整合同价格的约定：</w:t>
      </w:r>
      <w:r>
        <w:rPr>
          <w:rFonts w:hint="eastAsia" w:ascii="仿宋" w:hAnsi="仿宋" w:eastAsia="仿宋" w:cs="仿宋"/>
          <w:color w:val="auto"/>
          <w:sz w:val="24"/>
          <w:highlight w:val="none"/>
          <w:u w:val="single"/>
        </w:rPr>
        <w:t xml:space="preserve">  是  </w:t>
      </w:r>
      <w:r>
        <w:rPr>
          <w:rFonts w:hint="eastAsia" w:ascii="仿宋" w:hAnsi="仿宋" w:eastAsia="仿宋" w:cs="仿宋"/>
          <w:color w:val="auto"/>
          <w:sz w:val="24"/>
          <w:highlight w:val="none"/>
        </w:rPr>
        <w:t>。</w:t>
      </w:r>
    </w:p>
    <w:p>
      <w:pPr>
        <w:spacing w:line="360" w:lineRule="auto"/>
        <w:ind w:firstLine="566" w:firstLineChars="236"/>
        <w:jc w:val="left"/>
        <w:rPr>
          <w:rFonts w:ascii="仿宋" w:hAnsi="仿宋" w:eastAsia="仿宋" w:cs="仿宋"/>
          <w:color w:val="auto"/>
          <w:sz w:val="24"/>
          <w:highlight w:val="none"/>
        </w:rPr>
      </w:pPr>
      <w:r>
        <w:rPr>
          <w:rFonts w:hint="eastAsia" w:ascii="仿宋" w:hAnsi="仿宋" w:eastAsia="仿宋" w:cs="仿宋"/>
          <w:color w:val="auto"/>
          <w:sz w:val="24"/>
          <w:highlight w:val="none"/>
        </w:rPr>
        <w:t>因市场价格波动调整合同价格，采用以下第</w:t>
      </w:r>
      <w:r>
        <w:rPr>
          <w:rFonts w:hint="eastAsia" w:ascii="仿宋" w:hAnsi="仿宋" w:eastAsia="仿宋" w:cs="仿宋"/>
          <w:color w:val="auto"/>
          <w:sz w:val="24"/>
          <w:highlight w:val="none"/>
          <w:u w:val="single"/>
        </w:rPr>
        <w:t xml:space="preserve">  3  </w:t>
      </w:r>
      <w:r>
        <w:rPr>
          <w:rFonts w:hint="eastAsia" w:ascii="仿宋" w:hAnsi="仿宋" w:eastAsia="仿宋" w:cs="仿宋"/>
          <w:color w:val="auto"/>
          <w:sz w:val="24"/>
          <w:highlight w:val="none"/>
        </w:rPr>
        <w:t>种方式对合同价格进行调整：</w:t>
      </w:r>
    </w:p>
    <w:p>
      <w:pPr>
        <w:spacing w:line="360" w:lineRule="auto"/>
        <w:ind w:firstLine="566" w:firstLineChars="236"/>
        <w:jc w:val="left"/>
        <w:rPr>
          <w:rFonts w:ascii="仿宋" w:hAnsi="仿宋" w:eastAsia="仿宋" w:cs="仿宋"/>
          <w:color w:val="auto"/>
          <w:sz w:val="24"/>
          <w:highlight w:val="none"/>
        </w:rPr>
      </w:pPr>
      <w:r>
        <w:rPr>
          <w:rFonts w:hint="eastAsia" w:ascii="仿宋" w:hAnsi="仿宋" w:eastAsia="仿宋" w:cs="仿宋"/>
          <w:color w:val="auto"/>
          <w:sz w:val="24"/>
          <w:highlight w:val="none"/>
        </w:rPr>
        <w:t>第1种方式：采用价格指数进行价格调整。</w:t>
      </w:r>
    </w:p>
    <w:p>
      <w:pPr>
        <w:spacing w:line="360" w:lineRule="auto"/>
        <w:ind w:firstLine="566" w:firstLineChars="236"/>
        <w:jc w:val="left"/>
        <w:rPr>
          <w:rFonts w:ascii="仿宋" w:hAnsi="仿宋" w:eastAsia="仿宋" w:cs="仿宋"/>
          <w:color w:val="auto"/>
          <w:sz w:val="24"/>
          <w:highlight w:val="none"/>
          <w:u w:val="single"/>
        </w:rPr>
      </w:pPr>
      <w:r>
        <w:rPr>
          <w:rFonts w:hint="eastAsia" w:ascii="仿宋" w:hAnsi="仿宋" w:eastAsia="仿宋" w:cs="仿宋"/>
          <w:color w:val="auto"/>
          <w:sz w:val="24"/>
          <w:highlight w:val="none"/>
        </w:rPr>
        <w:t>关于各可调因子、定值和变值权重，以及基本价格指数及其来源的约定：</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rPr>
        <w:t xml:space="preserve">；  </w:t>
      </w:r>
    </w:p>
    <w:p>
      <w:pPr>
        <w:spacing w:line="360" w:lineRule="auto"/>
        <w:ind w:firstLine="566" w:firstLineChars="236"/>
        <w:jc w:val="left"/>
        <w:rPr>
          <w:rFonts w:ascii="仿宋" w:hAnsi="仿宋" w:eastAsia="仿宋" w:cs="仿宋"/>
          <w:color w:val="auto"/>
          <w:sz w:val="24"/>
          <w:highlight w:val="none"/>
        </w:rPr>
      </w:pPr>
      <w:r>
        <w:rPr>
          <w:rFonts w:hint="eastAsia" w:ascii="仿宋" w:hAnsi="仿宋" w:eastAsia="仿宋" w:cs="仿宋"/>
          <w:color w:val="auto"/>
          <w:sz w:val="24"/>
          <w:highlight w:val="none"/>
        </w:rPr>
        <w:t>第2种方式：采用造价信息进行价格调整。</w:t>
      </w:r>
    </w:p>
    <w:p>
      <w:pPr>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（2）关于基准价格的约定：</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rPr>
        <w:t>。</w:t>
      </w:r>
    </w:p>
    <w:p>
      <w:pPr>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专用合同条款①承包人在已标价工程量清单或预算书中载明的材料单价低于基准价格的：专用合同条款合同履行期间材料单价涨幅以基准价格为基础超过</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%时，或材料单价跌幅以已标价工程量清单或预算书中载明材料单价为基础超过</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%时，其超过部分据实调整。</w:t>
      </w:r>
    </w:p>
    <w:p>
      <w:pPr>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②承包人在已标价工程量清单或预算书中载明的材料单价高于基准价格的：专用合同条款合同履行期间材料单价跌幅以基准价格为基础超过</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rPr>
        <w:t>%时，材料单价涨幅以已标价工程量清单或预算书中载明材料单价为基础超过</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rPr>
        <w:t>%时，其超过部分据实调整。</w:t>
      </w:r>
    </w:p>
    <w:p>
      <w:pPr>
        <w:spacing w:line="360" w:lineRule="auto"/>
        <w:ind w:firstLine="426"/>
        <w:jc w:val="left"/>
        <w:rPr>
          <w:rFonts w:ascii="仿宋" w:hAnsi="仿宋" w:eastAsia="仿宋" w:cs="仿宋"/>
          <w:color w:val="auto"/>
          <w:sz w:val="24"/>
          <w:highlight w:val="none"/>
        </w:rPr>
      </w:pPr>
      <w:r>
        <w:rPr>
          <w:rFonts w:hint="eastAsia" w:ascii="仿宋" w:hAnsi="仿宋" w:eastAsia="仿宋" w:cs="仿宋"/>
          <w:color w:val="auto"/>
          <w:sz w:val="24"/>
          <w:highlight w:val="none"/>
        </w:rPr>
        <w:t>③承包人在已标价工程量清单或预算书中载明的材料单价等于基准单价的：专用合同条款合同履行期间材料单价涨跌幅以基准单价为基础超过±</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rPr>
        <w:t>%时，其超过部分据实调整。</w:t>
      </w:r>
    </w:p>
    <w:p>
      <w:pPr>
        <w:spacing w:line="360" w:lineRule="auto"/>
        <w:ind w:firstLine="645"/>
        <w:jc w:val="left"/>
        <w:rPr>
          <w:rFonts w:ascii="仿宋" w:hAnsi="仿宋" w:eastAsia="仿宋" w:cs="仿宋"/>
          <w:color w:val="auto"/>
          <w:sz w:val="24"/>
          <w:highlight w:val="none"/>
        </w:rPr>
      </w:pPr>
      <w:r>
        <w:rPr>
          <w:rFonts w:hint="eastAsia" w:ascii="仿宋" w:hAnsi="仿宋" w:eastAsia="仿宋" w:cs="仿宋"/>
          <w:color w:val="auto"/>
          <w:sz w:val="24"/>
          <w:highlight w:val="none"/>
        </w:rPr>
        <w:t>第3种方式：采用政策性文件进行价格调整。</w:t>
      </w:r>
    </w:p>
    <w:p>
      <w:pPr>
        <w:spacing w:line="360" w:lineRule="auto"/>
        <w:ind w:firstLine="645"/>
        <w:jc w:val="left"/>
        <w:rPr>
          <w:rFonts w:ascii="仿宋" w:hAnsi="仿宋" w:eastAsia="仿宋" w:cs="仿宋"/>
          <w:color w:val="auto"/>
          <w:sz w:val="24"/>
          <w:highlight w:val="none"/>
        </w:rPr>
      </w:pPr>
      <w:r>
        <w:rPr>
          <w:rFonts w:hint="eastAsia" w:ascii="仿宋" w:hAnsi="仿宋" w:eastAsia="仿宋" w:cs="仿宋"/>
          <w:color w:val="auto"/>
          <w:sz w:val="24"/>
          <w:highlight w:val="none"/>
        </w:rPr>
        <w:t>政府投资工程因市场价格波动引起的调整按以下</w:t>
      </w:r>
      <w:r>
        <w:rPr>
          <w:rFonts w:hint="eastAsia" w:ascii="仿宋" w:hAnsi="仿宋" w:eastAsia="仿宋" w:cs="仿宋"/>
          <w:color w:val="auto"/>
          <w:sz w:val="24"/>
          <w:highlight w:val="none"/>
          <w:u w:val="single"/>
        </w:rPr>
        <w:t>第（</w:t>
      </w:r>
      <w:r>
        <w:rPr>
          <w:rFonts w:hint="eastAsia" w:ascii="仿宋" w:hAnsi="仿宋" w:eastAsia="仿宋" w:cs="仿宋"/>
          <w:b/>
          <w:color w:val="auto"/>
          <w:sz w:val="24"/>
          <w:highlight w:val="none"/>
          <w:u w:val="single"/>
        </w:rPr>
        <w:t>一</w:t>
      </w:r>
      <w:r>
        <w:rPr>
          <w:rFonts w:hint="eastAsia" w:ascii="仿宋" w:hAnsi="仿宋" w:eastAsia="仿宋" w:cs="仿宋"/>
          <w:color w:val="auto"/>
          <w:sz w:val="24"/>
          <w:highlight w:val="none"/>
          <w:u w:val="single"/>
        </w:rPr>
        <w:t xml:space="preserve">  ）种方式</w:t>
      </w:r>
      <w:r>
        <w:rPr>
          <w:rFonts w:hint="eastAsia" w:ascii="仿宋" w:hAnsi="仿宋" w:eastAsia="仿宋" w:cs="仿宋"/>
          <w:color w:val="auto"/>
          <w:sz w:val="24"/>
          <w:highlight w:val="none"/>
        </w:rPr>
        <w:t>约定执行：</w:t>
      </w:r>
    </w:p>
    <w:p>
      <w:pPr>
        <w:spacing w:line="360" w:lineRule="auto"/>
        <w:ind w:firstLine="645"/>
        <w:jc w:val="left"/>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 xml:space="preserve">（一）按《关于进一步加强杭州市建设工程市场要素价格动态管理的指导意见》（杭建市[2018]579号）执行 </w:t>
      </w:r>
    </w:p>
    <w:p>
      <w:pPr>
        <w:spacing w:line="360" w:lineRule="auto"/>
        <w:ind w:firstLine="645"/>
        <w:jc w:val="left"/>
        <w:rPr>
          <w:rFonts w:ascii="仿宋" w:hAnsi="仿宋" w:eastAsia="仿宋" w:cs="仿宋"/>
          <w:color w:val="auto"/>
          <w:sz w:val="24"/>
          <w:highlight w:val="none"/>
        </w:rPr>
      </w:pPr>
      <w:r>
        <w:rPr>
          <w:rFonts w:hint="eastAsia" w:ascii="仿宋" w:hAnsi="仿宋" w:eastAsia="仿宋" w:cs="仿宋"/>
          <w:color w:val="auto"/>
          <w:sz w:val="24"/>
          <w:highlight w:val="none"/>
        </w:rPr>
        <w:t xml:space="preserve">（二）其他： </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rPr>
        <w:t xml:space="preserve">。                          </w:t>
      </w:r>
    </w:p>
    <w:p>
      <w:pPr>
        <w:spacing w:line="360" w:lineRule="auto"/>
        <w:ind w:firstLine="645"/>
        <w:jc w:val="left"/>
        <w:rPr>
          <w:rFonts w:ascii="仿宋" w:hAnsi="仿宋" w:eastAsia="仿宋" w:cs="仿宋"/>
          <w:color w:val="auto"/>
          <w:sz w:val="24"/>
          <w:highlight w:val="none"/>
        </w:rPr>
      </w:pPr>
      <w:r>
        <w:rPr>
          <w:rFonts w:hint="eastAsia" w:ascii="仿宋" w:hAnsi="仿宋" w:eastAsia="仿宋" w:cs="仿宋"/>
          <w:color w:val="auto"/>
          <w:sz w:val="24"/>
          <w:highlight w:val="none"/>
        </w:rPr>
        <w:t>其中：</w:t>
      </w:r>
    </w:p>
    <w:p>
      <w:pPr>
        <w:spacing w:line="360" w:lineRule="auto"/>
        <w:ind w:firstLine="645"/>
        <w:jc w:val="left"/>
        <w:rPr>
          <w:rFonts w:ascii="仿宋" w:hAnsi="仿宋" w:eastAsia="仿宋" w:cs="仿宋"/>
          <w:color w:val="auto"/>
          <w:sz w:val="24"/>
          <w:highlight w:val="none"/>
        </w:rPr>
      </w:pPr>
      <w:r>
        <w:rPr>
          <w:rFonts w:hint="eastAsia" w:ascii="仿宋" w:hAnsi="仿宋" w:eastAsia="仿宋" w:cs="仿宋"/>
          <w:color w:val="auto"/>
          <w:sz w:val="24"/>
          <w:highlight w:val="none"/>
        </w:rPr>
        <w:t>1、风险范围及幅度的约定：</w:t>
      </w:r>
    </w:p>
    <w:p>
      <w:pPr>
        <w:spacing w:line="360" w:lineRule="auto"/>
        <w:ind w:firstLine="645"/>
        <w:jc w:val="left"/>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（1）人工费的风险幅度（ 5 %）</w:t>
      </w:r>
    </w:p>
    <w:p>
      <w:pPr>
        <w:spacing w:line="360" w:lineRule="auto"/>
        <w:ind w:firstLine="645"/>
        <w:jc w:val="left"/>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（2）材料价格的风险幅度（ 5 %）</w:t>
      </w:r>
    </w:p>
    <w:p>
      <w:pPr>
        <w:spacing w:line="360" w:lineRule="auto"/>
        <w:ind w:firstLine="645"/>
        <w:jc w:val="left"/>
        <w:rPr>
          <w:rFonts w:ascii="仿宋" w:hAnsi="仿宋" w:eastAsia="仿宋" w:cs="仿宋"/>
          <w:color w:val="auto"/>
          <w:sz w:val="24"/>
          <w:highlight w:val="none"/>
        </w:rPr>
      </w:pPr>
      <w:r>
        <w:rPr>
          <w:rFonts w:hint="eastAsia" w:ascii="仿宋" w:hAnsi="仿宋" w:eastAsia="仿宋" w:cs="仿宋"/>
          <w:color w:val="auto"/>
          <w:sz w:val="24"/>
          <w:highlight w:val="none"/>
        </w:rPr>
        <w:t>2、材料价款动态调整结算方式采用以下</w:t>
      </w:r>
      <w:r>
        <w:rPr>
          <w:rFonts w:hint="eastAsia" w:ascii="仿宋" w:hAnsi="仿宋" w:eastAsia="仿宋" w:cs="仿宋"/>
          <w:color w:val="auto"/>
          <w:sz w:val="24"/>
          <w:highlight w:val="none"/>
          <w:u w:val="single"/>
        </w:rPr>
        <w:t>第（ 3 ）种方式</w:t>
      </w:r>
      <w:r>
        <w:rPr>
          <w:rFonts w:hint="eastAsia" w:ascii="仿宋" w:hAnsi="仿宋" w:eastAsia="仿宋" w:cs="仿宋"/>
          <w:color w:val="auto"/>
          <w:sz w:val="24"/>
          <w:highlight w:val="none"/>
        </w:rPr>
        <w:t>约定：</w:t>
      </w:r>
    </w:p>
    <w:p>
      <w:pPr>
        <w:spacing w:line="360" w:lineRule="auto"/>
        <w:ind w:firstLine="645"/>
        <w:jc w:val="left"/>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（1）按时间进度分段结算：                          。</w:t>
      </w:r>
    </w:p>
    <w:p>
      <w:pPr>
        <w:spacing w:line="360" w:lineRule="auto"/>
        <w:ind w:firstLine="645"/>
        <w:jc w:val="left"/>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（2）按工程形象部位(目标)分段结算：                 。</w:t>
      </w:r>
    </w:p>
    <w:p>
      <w:pPr>
        <w:spacing w:line="360" w:lineRule="auto"/>
        <w:ind w:firstLine="645"/>
        <w:jc w:val="left"/>
        <w:rPr>
          <w:rFonts w:ascii="仿宋" w:hAnsi="仿宋" w:eastAsia="仿宋" w:cs="仿宋"/>
          <w:b/>
          <w:color w:val="auto"/>
          <w:sz w:val="24"/>
          <w:highlight w:val="none"/>
          <w:u w:val="single"/>
        </w:rPr>
      </w:pPr>
      <w:r>
        <w:rPr>
          <w:rFonts w:hint="eastAsia" w:ascii="仿宋" w:hAnsi="仿宋" w:eastAsia="仿宋" w:cs="仿宋"/>
          <w:color w:val="auto"/>
          <w:sz w:val="24"/>
          <w:highlight w:val="none"/>
          <w:u w:val="single"/>
        </w:rPr>
        <w:t>（3）竣工后一次性结算                               。</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12. 合同价格、计量与支付</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12.1 合同价格形式</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1、单价合同。</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综合单价包含的风险范围：</w:t>
      </w:r>
    </w:p>
    <w:p>
      <w:pPr>
        <w:spacing w:line="440" w:lineRule="exact"/>
        <w:ind w:firstLine="424" w:firstLineChars="177"/>
        <w:rPr>
          <w:rFonts w:ascii="仿宋" w:hAnsi="仿宋" w:eastAsia="仿宋" w:cs="仿宋"/>
          <w:color w:val="auto"/>
          <w:sz w:val="24"/>
          <w:highlight w:val="none"/>
          <w:u w:val="single"/>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u w:val="single"/>
        </w:rPr>
        <w:t>应由承包人承担的工、料、机在投标编制期或预算书编制期与合同实施期间所发生的市场价格波动。</w:t>
      </w:r>
    </w:p>
    <w:p>
      <w:pPr>
        <w:spacing w:line="440" w:lineRule="exact"/>
        <w:ind w:firstLine="424" w:firstLineChars="177"/>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 xml:space="preserve">（2）其他：①人、材、机的市场格变化；②连续8 小时的停水、电、气；③政策性的调整、④技术措施费，⑤有经验的承包商应该可以预料的风险⑥施工图虽未明确表示但按国家规范必须实施的内容招标文件明确要求包干的内容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rPr>
        <w:t>风险费用的计算方法：</w:t>
      </w:r>
      <w:r>
        <w:rPr>
          <w:rFonts w:hint="eastAsia" w:ascii="仿宋" w:hAnsi="仿宋" w:eastAsia="仿宋" w:cs="仿宋"/>
          <w:color w:val="auto"/>
          <w:sz w:val="24"/>
          <w:highlight w:val="none"/>
          <w:u w:val="single"/>
        </w:rPr>
        <w:t xml:space="preserve">已包含在投标总价中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风险范围以外合同价格的调整方法：</w:t>
      </w:r>
    </w:p>
    <w:p>
      <w:pPr>
        <w:spacing w:line="440" w:lineRule="exact"/>
        <w:ind w:firstLine="424" w:firstLineChars="177"/>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（1）市场价格波动引起的调整按本合同11.1第3种方式的约定计算。</w:t>
      </w:r>
    </w:p>
    <w:p>
      <w:pPr>
        <w:spacing w:line="440" w:lineRule="exact"/>
        <w:ind w:firstLine="424" w:firstLineChars="177"/>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 xml:space="preserve">（2）其他：只有发生发包人提供的工程量清单漏项、清单工程量有偏差，非承包人原因的设计变更必须由设计单位出具设计变更图纸并经发包人确认、签证认可的特殊事项才可调整合同价款。 </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 xml:space="preserve">调整方法如下：  </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u w:val="single"/>
        </w:rPr>
        <w:t>工程量的调整：工程量依据《建设工程工程量清单计价规范》（GB50500 -2013）结算，所有增减工程量的核定均先上报总监理工程师审核签字并加盖监理签证章，由发包人指定代表审定签字加盖（发包人）公章，最终以经工程结算审计审核后的工程量为准</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 xml:space="preserve">合同价款的调整： </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 xml:space="preserve">（1）工程量清单或合同中已有适用于变更工程的价格，按已有的价格计算。 </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 xml:space="preserve">（2）工程量清单或合同中有类似于变更工程的价格，可以参照类似价格，按如下结算： </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 xml:space="preserve">a、变更引起的原工程量清单中项目特征或工程内容发生部分变更时，应以原综合单价为基础，仅就变更部分相应定额子目调整综合单价，并经监理工程师审核，发包人签证同意后执行。 </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 xml:space="preserve">b、变更引起的原清单项目主材变更，则仅调整其主材价差价，差价为“该变更主材施工工期内各月的信息价格的平均值与投标截止日当期的该主材信息价的差价”，其余项目均不作调整。当变更的主材无信息价可以套用，按承发包双方确认的市场价计取差价，其余项目均不作调整。以上价差仅计取税金。发包人有权对材料设备的品牌进行变更，承包人应接受。 </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 xml:space="preserve">（3）工程量清单中没有相同、类似项目综合单价的，按以下方式结算： </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 xml:space="preserve">a、套用《浙江省建筑工程预算定额（2018）版》、《 浙江省安装工程预算定额（2018）版》采用以“直接工程费＋规费＋税金”方式组价，其它管理、利润、风险等费用均不再计取。 </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 xml:space="preserve">b、“直接工程费”中的人工、机械及除主要材料外的其它材料的单价和定额消耗量参照2018版定额计取，人工、机械及主要材料价格按承包人投标文件中的价格计算，如投标文件中同一项目有不同报价的，则按低价计算；如投标文件中无此人工、机械及主要材料单价，按发包人审核后的签证价格。 </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 xml:space="preserve">c、若变更项目无法套用2018版浙江省定额，则由承包人根据市场行情上报建议综合单价，经监理单位审核后，最终以发包人签证价格为准。 </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 xml:space="preserve">（4）材料及人工价格调整：             /             </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 xml:space="preserve">（5）属不可抗力因素造成承包人的直接损失费用，发包人将根据实际情况另行协商，但属于应该预防的因素，因承包人没有及时预防或预防不当造成的损失，发包人不负责补偿；属施工技术组织失误造成的费用、工期损失均由承包人负担。 </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 xml:space="preserve">（6）凡是变更引起的合同价款的调整，均在竣工结算时审计后归入结算总价，施工期间内发包人不再另行支付。 </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2、总价合同。</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总价包含的风险范围：</w:t>
      </w:r>
      <w:r>
        <w:rPr>
          <w:rFonts w:hint="eastAsia" w:ascii="仿宋" w:hAnsi="仿宋" w:eastAsia="仿宋" w:cs="仿宋"/>
          <w:color w:val="auto"/>
          <w:sz w:val="24"/>
          <w:highlight w:val="none"/>
          <w:u w:val="single"/>
        </w:rPr>
        <w:t xml:space="preserve">                                 </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风险费用的计算方法：</w:t>
      </w:r>
      <w:r>
        <w:rPr>
          <w:rFonts w:hint="eastAsia" w:ascii="仿宋" w:hAnsi="仿宋" w:eastAsia="仿宋" w:cs="仿宋"/>
          <w:color w:val="auto"/>
          <w:sz w:val="24"/>
          <w:highlight w:val="none"/>
          <w:u w:val="single"/>
        </w:rPr>
        <w:t xml:space="preserve">                                 </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风险范围以外合同价格的调整方法：</w:t>
      </w:r>
      <w:r>
        <w:rPr>
          <w:rFonts w:hint="eastAsia" w:ascii="仿宋" w:hAnsi="仿宋" w:eastAsia="仿宋" w:cs="仿宋"/>
          <w:color w:val="auto"/>
          <w:sz w:val="24"/>
          <w:highlight w:val="none"/>
          <w:u w:val="single"/>
        </w:rPr>
        <w:t xml:space="preserve">                     </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rPr>
        <w:t>3、其他价格方式：</w:t>
      </w:r>
      <w:r>
        <w:rPr>
          <w:rFonts w:hint="eastAsia" w:ascii="仿宋" w:hAnsi="仿宋" w:eastAsia="仿宋" w:cs="仿宋"/>
          <w:color w:val="auto"/>
          <w:sz w:val="24"/>
          <w:highlight w:val="none"/>
          <w:u w:val="single"/>
        </w:rPr>
        <w:t xml:space="preserve">                                   。</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12.2 预付款</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12.2.1 预付款的支付</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rPr>
        <w:t>预付款支付比例或金额：</w:t>
      </w:r>
      <w:r>
        <w:rPr>
          <w:rFonts w:hint="eastAsia" w:ascii="仿宋" w:hAnsi="仿宋" w:eastAsia="仿宋" w:cs="仿宋"/>
          <w:color w:val="auto"/>
          <w:sz w:val="24"/>
          <w:highlight w:val="none"/>
          <w:u w:val="single"/>
        </w:rPr>
        <w:t xml:space="preserve">    合同价的40%作为预付款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预付款支付期限：</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预付款扣回的方式：</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12.2.2 预付款担保</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承包人提交预付款担保的期限：</w:t>
      </w:r>
      <w:r>
        <w:rPr>
          <w:rFonts w:hint="eastAsia" w:ascii="仿宋" w:hAnsi="仿宋" w:eastAsia="仿宋" w:cs="仿宋"/>
          <w:color w:val="auto"/>
          <w:sz w:val="24"/>
          <w:highlight w:val="none"/>
          <w:u w:val="single"/>
        </w:rPr>
        <w:t xml:space="preserve">   合同生效、具备实施条件后5个工作日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预付款担保的形式为：</w:t>
      </w:r>
      <w:r>
        <w:rPr>
          <w:rFonts w:hint="eastAsia" w:ascii="仿宋" w:hAnsi="仿宋" w:eastAsia="仿宋" w:cs="仿宋"/>
          <w:color w:val="auto"/>
          <w:sz w:val="24"/>
          <w:highlight w:val="none"/>
          <w:u w:val="single"/>
        </w:rPr>
        <w:t xml:space="preserve">    银行、保险公司等金融机构出具的保函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12.3 计量</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12.3.1 计量原则</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工程量计算规则：</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u w:val="single"/>
        </w:rPr>
        <w:t xml:space="preserve"> 实行工程量清单计价的工程项目，其工程量的计算规则应按国家标准工程量计算规范及省级行业主管部门颁布的补充规定执行。</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u w:val="single"/>
        </w:rPr>
        <w:t>不实行工程量清单计价的工程项目，工程量的计算规则应按省、市行业主管部门颁布的各专业工程定额的工程量计算规则执行。</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12.3.2 计量周期</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关于计量周期的约定：</w:t>
      </w:r>
      <w:r>
        <w:rPr>
          <w:rFonts w:hint="eastAsia" w:ascii="仿宋" w:hAnsi="仿宋" w:eastAsia="仿宋" w:cs="仿宋"/>
          <w:color w:val="auto"/>
          <w:sz w:val="24"/>
          <w:highlight w:val="none"/>
          <w:u w:val="single"/>
        </w:rPr>
        <w:t xml:space="preserve">         按通用合同条款约定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12.3.3 单价合同的计量</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关于单价合同计量的约定：</w:t>
      </w:r>
      <w:r>
        <w:rPr>
          <w:rFonts w:hint="eastAsia" w:ascii="仿宋" w:hAnsi="仿宋" w:eastAsia="仿宋" w:cs="仿宋"/>
          <w:color w:val="auto"/>
          <w:sz w:val="24"/>
          <w:highlight w:val="none"/>
          <w:u w:val="single"/>
        </w:rPr>
        <w:t xml:space="preserve">   按通用合同条款约定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12.3.4 总价合同的计量</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关于总价合同计量的约定：</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rPr>
        <w:t>。</w:t>
      </w:r>
    </w:p>
    <w:p>
      <w:pPr>
        <w:spacing w:line="360" w:lineRule="auto"/>
        <w:ind w:firstLine="566" w:firstLineChars="236"/>
        <w:jc w:val="left"/>
        <w:rPr>
          <w:rFonts w:ascii="仿宋" w:hAnsi="仿宋" w:eastAsia="仿宋" w:cs="仿宋"/>
          <w:color w:val="auto"/>
          <w:sz w:val="24"/>
          <w:highlight w:val="none"/>
        </w:rPr>
      </w:pPr>
      <w:r>
        <w:rPr>
          <w:rFonts w:hint="eastAsia" w:ascii="仿宋" w:hAnsi="仿宋" w:eastAsia="仿宋" w:cs="仿宋"/>
          <w:color w:val="auto"/>
          <w:sz w:val="24"/>
          <w:highlight w:val="none"/>
        </w:rPr>
        <w:t>12.3.5总价合同采用支付分解表计量支付的，是否适用第12.3.4 项〔总价合同的计量〕约定进行计量：</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rPr>
        <w:t>。</w:t>
      </w:r>
    </w:p>
    <w:p>
      <w:pPr>
        <w:spacing w:line="360" w:lineRule="auto"/>
        <w:ind w:firstLine="566" w:firstLineChars="236"/>
        <w:jc w:val="left"/>
        <w:rPr>
          <w:rFonts w:ascii="仿宋" w:hAnsi="仿宋" w:eastAsia="仿宋" w:cs="仿宋"/>
          <w:color w:val="auto"/>
          <w:sz w:val="24"/>
          <w:highlight w:val="none"/>
        </w:rPr>
      </w:pPr>
      <w:r>
        <w:rPr>
          <w:rFonts w:hint="eastAsia" w:ascii="仿宋" w:hAnsi="仿宋" w:eastAsia="仿宋" w:cs="仿宋"/>
          <w:color w:val="auto"/>
          <w:sz w:val="24"/>
          <w:highlight w:val="none"/>
        </w:rPr>
        <w:t>12.3.6 其他价格形式合同的计量</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其他价格形式的计量方式和程序：</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12.4 工程进度款支付</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12.4.1 付款周期</w:t>
      </w:r>
    </w:p>
    <w:p>
      <w:pPr>
        <w:spacing w:line="360" w:lineRule="auto"/>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关于付款周期的约定：</w:t>
      </w:r>
    </w:p>
    <w:p>
      <w:pPr>
        <w:spacing w:line="360" w:lineRule="auto"/>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1）合同签订后30天内缴纳合同价1%的金额作为履约保证金；</w:t>
      </w:r>
    </w:p>
    <w:p>
      <w:pPr>
        <w:spacing w:line="360" w:lineRule="auto"/>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2）供应商须在合同生效、具备实施条件后5个工作日内提交银行、保险公司等金融机构出具的预付款保函（金额为合同总价的40%，工程产值达到合同价款40%后退还）；</w:t>
      </w:r>
    </w:p>
    <w:p>
      <w:pPr>
        <w:spacing w:line="360" w:lineRule="auto"/>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3）合同生效、具备实施条件后5个工作日内发包人支付合同总价的40%作为预付款；</w:t>
      </w:r>
    </w:p>
    <w:p>
      <w:pPr>
        <w:spacing w:line="360" w:lineRule="auto"/>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4）工程产值达到合同价款60%，经发包人审核无误并收到发票后5个工作日内支付至合同价的50%；工程竣工符合国家验收标准并达到合同要求后工程竣工支付至合同价的85%；竣工结算书经业主确认并提交完整档案资料后，支付剩余款项。</w:t>
      </w:r>
    </w:p>
    <w:p>
      <w:pPr>
        <w:spacing w:line="360" w:lineRule="auto"/>
        <w:ind w:firstLine="566" w:firstLineChars="236"/>
        <w:rPr>
          <w:rFonts w:ascii="仿宋" w:hAnsi="仿宋" w:eastAsia="仿宋" w:cs="仿宋"/>
          <w:b/>
          <w:color w:val="auto"/>
          <w:sz w:val="24"/>
          <w:highlight w:val="none"/>
        </w:rPr>
      </w:pPr>
      <w:r>
        <w:rPr>
          <w:rFonts w:hint="eastAsia" w:ascii="仿宋" w:hAnsi="仿宋" w:eastAsia="仿宋" w:cs="仿宋"/>
          <w:color w:val="auto"/>
          <w:sz w:val="24"/>
          <w:highlight w:val="none"/>
          <w:u w:val="single"/>
        </w:rPr>
        <w:t>以上款项的支付须经发包人签证确认后再行支付（工程款支付均不包括设计变更及联系单增加的工作量，设计变更及联系单增减的工作量待竣工结算时结清）。</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rPr>
        <w:t>12.4.2 进度付款申请单的编制</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rPr>
        <w:t>关于进度付款申请单编制的约定：</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12.4.3 进度付款申请单的提交</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（1）单价合同进度付款申请单提交的约定：</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（2）总价合同进度付款申请单提交的约定：</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rPr>
        <w:t>（3）其他价格形式合同进度付款申请单提交的约定：</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12.4.4 进度款审核和支付</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rPr>
        <w:t>（1）监理人审查并报送发包人的期限：</w:t>
      </w:r>
      <w:r>
        <w:rPr>
          <w:rFonts w:hint="eastAsia" w:ascii="仿宋" w:hAnsi="仿宋" w:eastAsia="仿宋" w:cs="仿宋"/>
          <w:color w:val="auto"/>
          <w:sz w:val="24"/>
          <w:highlight w:val="none"/>
          <w:u w:val="single"/>
        </w:rPr>
        <w:t xml:space="preserve">  按通用合同条款约定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rPr>
        <w:t>发包人完成审批并签发进度款支付证书的期限：</w:t>
      </w:r>
      <w:r>
        <w:rPr>
          <w:rFonts w:hint="eastAsia" w:ascii="仿宋" w:hAnsi="仿宋" w:eastAsia="仿宋" w:cs="仿宋"/>
          <w:color w:val="auto"/>
          <w:sz w:val="24"/>
          <w:highlight w:val="none"/>
          <w:u w:val="single"/>
        </w:rPr>
        <w:t xml:space="preserve">  按通用合同条款约定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（2）发包人支付进度款的期限：</w:t>
      </w:r>
      <w:r>
        <w:rPr>
          <w:rFonts w:hint="eastAsia" w:ascii="仿宋" w:hAnsi="仿宋" w:eastAsia="仿宋" w:cs="仿宋"/>
          <w:color w:val="auto"/>
          <w:sz w:val="24"/>
          <w:highlight w:val="none"/>
          <w:u w:val="single"/>
        </w:rPr>
        <w:t>按通用合同条款约定</w:t>
      </w:r>
      <w:r>
        <w:rPr>
          <w:rFonts w:hint="eastAsia" w:ascii="仿宋" w:hAnsi="仿宋" w:eastAsia="仿宋" w:cs="仿宋"/>
          <w:color w:val="auto"/>
          <w:sz w:val="24"/>
          <w:highlight w:val="none"/>
        </w:rPr>
        <w:t xml:space="preserve">。  </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rPr>
        <w:t>发包人逾期支付进度款的违约金的计算方式：</w:t>
      </w:r>
      <w:r>
        <w:rPr>
          <w:rFonts w:hint="eastAsia" w:ascii="仿宋" w:hAnsi="仿宋" w:eastAsia="仿宋" w:cs="仿宋"/>
          <w:color w:val="auto"/>
          <w:sz w:val="24"/>
          <w:highlight w:val="none"/>
          <w:u w:val="single"/>
        </w:rPr>
        <w:t xml:space="preserve">  按通用合同条款约定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12.4.6 支付分解表的编制</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rPr>
        <w:t>2、总价合同支付分解表的编制与审批：</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rPr>
        <w:t>3、单价合同的总价项目支付分解表的编制与审批：</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rPr>
        <w:t xml:space="preserve"> 。</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13. 验收和工程试车</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13.1 分部分项工程验收</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13.1.2监理人不能按时进行验收时，应提前</w:t>
      </w:r>
      <w:r>
        <w:rPr>
          <w:rFonts w:hint="eastAsia" w:ascii="仿宋" w:hAnsi="仿宋" w:eastAsia="仿宋" w:cs="仿宋"/>
          <w:color w:val="auto"/>
          <w:sz w:val="24"/>
          <w:highlight w:val="none"/>
          <w:u w:val="single"/>
        </w:rPr>
        <w:t xml:space="preserve">   24  </w:t>
      </w:r>
      <w:r>
        <w:rPr>
          <w:rFonts w:hint="eastAsia" w:ascii="仿宋" w:hAnsi="仿宋" w:eastAsia="仿宋" w:cs="仿宋"/>
          <w:color w:val="auto"/>
          <w:sz w:val="24"/>
          <w:highlight w:val="none"/>
        </w:rPr>
        <w:t>小时提交书面延期要求。</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关于延期最长不得超过：</w:t>
      </w:r>
      <w:r>
        <w:rPr>
          <w:rFonts w:hint="eastAsia" w:ascii="仿宋" w:hAnsi="仿宋" w:eastAsia="仿宋" w:cs="仿宋"/>
          <w:color w:val="auto"/>
          <w:sz w:val="24"/>
          <w:highlight w:val="none"/>
          <w:u w:val="single"/>
        </w:rPr>
        <w:t xml:space="preserve"> 24  </w:t>
      </w:r>
      <w:r>
        <w:rPr>
          <w:rFonts w:hint="eastAsia" w:ascii="仿宋" w:hAnsi="仿宋" w:eastAsia="仿宋" w:cs="仿宋"/>
          <w:color w:val="auto"/>
          <w:sz w:val="24"/>
          <w:highlight w:val="none"/>
        </w:rPr>
        <w:t>小时。</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13.2 竣工验收</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13.2.2竣工验收程序</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rPr>
        <w:t>关于竣工验收程序的约定：</w:t>
      </w:r>
      <w:r>
        <w:rPr>
          <w:rFonts w:hint="eastAsia" w:ascii="仿宋" w:hAnsi="仿宋" w:eastAsia="仿宋" w:cs="仿宋"/>
          <w:color w:val="auto"/>
          <w:sz w:val="24"/>
          <w:highlight w:val="none"/>
          <w:u w:val="single"/>
        </w:rPr>
        <w:t xml:space="preserve">竣工验收前十天向发包人提供竣工图（8套），竣工资料及竣工验收报告一式四份，并附光盘（含影像资料、图片等）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rPr>
        <w:t>发包人不按照本项约定组织竣工验收、颁发工程接收证书的违约金的计算方法：</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13.2.5移交、接收全部与部分工程</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承包人向发包人移交工程的期限：</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rPr>
        <w:t>发包人未按本合同约定接收全部或部分工程的，违约金的计算方法为：</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rPr>
        <w:t>承包人未按时移交工程的，违约金的计算方法为：</w:t>
      </w:r>
      <w:r>
        <w:rPr>
          <w:rFonts w:hint="eastAsia" w:ascii="仿宋" w:hAnsi="仿宋" w:eastAsia="仿宋" w:cs="仿宋"/>
          <w:color w:val="auto"/>
          <w:sz w:val="24"/>
          <w:highlight w:val="none"/>
          <w:u w:val="single"/>
        </w:rPr>
        <w:t xml:space="preserve">承包人应在发包人指定的时间内向发包人提供符合存档备案要求的竣工图、竣工资料及竣工验收报告等，并有义务配合发包人将该些资料存档备案，否则，每逾期一天，承包人应按照人民币五千元/天向发包人支付违约金，且发包人有权拒付工程款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13.3 工程试车</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13.3.1 试车程序</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rPr>
        <w:t>工程试车内容：</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（1）单机无负荷试车费用由</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rPr>
        <w:t>承担；</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（2）无负荷联动试车费用由</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rPr>
        <w:t>承担。</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13.3.3 投料试车</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rPr>
        <w:t>关于投料试车相关事项的约定：</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13.6 竣工退场</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13.6.1 竣工退场</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承包人完成竣工退场的期限：</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14. 竣工结算</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14.1 竣工付款申请</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承包人提交竣工付款申请单的期限：</w:t>
      </w:r>
      <w:r>
        <w:rPr>
          <w:rFonts w:hint="eastAsia" w:ascii="仿宋" w:hAnsi="仿宋" w:eastAsia="仿宋" w:cs="仿宋"/>
          <w:color w:val="auto"/>
          <w:sz w:val="24"/>
          <w:highlight w:val="none"/>
          <w:u w:val="single"/>
        </w:rPr>
        <w:t xml:space="preserve">  在60天内提交竣工付款申请单及结算资料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rPr>
        <w:t>竣工付款申请单应包括的内容：</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14.2 竣工结算审核</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发包人审批竣工付款申请单的期限：</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发包人完成竣工付款的期限：</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rPr>
        <w:t>关于竣工付款证书异议部分复核的方式和程序：</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14.4 最终结清</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14.4.1 最终结清申请单</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承包人提交最终结清申请单的份数：</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承包人提交最终结算申请单的期限：</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rPr>
        <w:t xml:space="preserve">。 </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14.4.2 最终结清证书和支付</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（1）发包人完成最终结清申请单的审批并颁发最终结清证书的期限：</w:t>
      </w:r>
      <w:r>
        <w:rPr>
          <w:rFonts w:hint="eastAsia" w:ascii="仿宋" w:hAnsi="仿宋" w:eastAsia="仿宋" w:cs="仿宋"/>
          <w:color w:val="auto"/>
          <w:sz w:val="24"/>
          <w:highlight w:val="none"/>
          <w:u w:val="single"/>
        </w:rPr>
        <w:t xml:space="preserve">   180天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（2）发包人完成支付的期限：</w:t>
      </w:r>
      <w:r>
        <w:rPr>
          <w:rFonts w:hint="eastAsia" w:ascii="仿宋" w:hAnsi="仿宋" w:eastAsia="仿宋" w:cs="仿宋"/>
          <w:color w:val="auto"/>
          <w:sz w:val="24"/>
          <w:highlight w:val="none"/>
          <w:u w:val="single"/>
        </w:rPr>
        <w:t xml:space="preserve">       30天内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15. 缺陷责任期与保修</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15.2缺陷责任期</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rPr>
        <w:t>缺陷责任期的具体期限：</w:t>
      </w:r>
      <w:r>
        <w:rPr>
          <w:rFonts w:hint="eastAsia" w:ascii="仿宋" w:hAnsi="仿宋" w:eastAsia="仿宋" w:cs="仿宋"/>
          <w:color w:val="auto"/>
          <w:sz w:val="24"/>
          <w:highlight w:val="none"/>
          <w:u w:val="single"/>
        </w:rPr>
        <w:t xml:space="preserve">    按《工程质量保修书》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15.3 质量保证金</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关于是否扣留质量保证金的约定：</w:t>
      </w:r>
      <w:r>
        <w:rPr>
          <w:rFonts w:hint="eastAsia" w:ascii="仿宋" w:hAnsi="仿宋" w:eastAsia="仿宋" w:cs="仿宋"/>
          <w:color w:val="auto"/>
          <w:sz w:val="24"/>
          <w:highlight w:val="none"/>
          <w:u w:val="single"/>
        </w:rPr>
        <w:t xml:space="preserve"> 不扣留  </w:t>
      </w:r>
      <w:r>
        <w:rPr>
          <w:rFonts w:hint="eastAsia" w:ascii="仿宋" w:hAnsi="仿宋" w:eastAsia="仿宋" w:cs="仿宋"/>
          <w:color w:val="auto"/>
          <w:sz w:val="24"/>
          <w:highlight w:val="none"/>
        </w:rPr>
        <w:t>。在工程项目竣工前，承包人按专用合同条款第3.7条提供履约担保的，发包人不得同时预留工程质量保证金。</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15.3.1 承包人提供质量保证金的方式</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质量保证金采用以下第</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rPr>
        <w:t>种方式：</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（1）质量保证金保函，保证金额为：</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rPr>
        <w:t xml:space="preserve">； </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rPr>
        <w:t>%的工程款；</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（3）其他方式:</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 xml:space="preserve">15.3.2 质量保证金的扣留 </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质量保证金的扣留采取以下第</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rPr>
        <w:t>种方式：</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（1）在支付工程进度款时逐次扣留，在此情形下，质量保证金的计算基数不包括预付款的支付、扣回以及价格调整的金额；</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（2）工程竣工结算时一次性扣留质量保证金；</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（3）其他扣留方式:</w:t>
      </w:r>
      <w:r>
        <w:rPr>
          <w:rFonts w:hint="eastAsia" w:ascii="仿宋" w:hAnsi="仿宋" w:eastAsia="仿宋" w:cs="仿宋"/>
          <w:color w:val="auto"/>
          <w:sz w:val="24"/>
          <w:highlight w:val="none"/>
          <w:u w:val="single"/>
        </w:rPr>
        <w:t xml:space="preserve">      /        。</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rPr>
        <w:t>关于质量保证金的补充约定：</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15.4保修</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15.4.1 保修责任</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rPr>
        <w:t>工程保修期为：</w:t>
      </w:r>
      <w:r>
        <w:rPr>
          <w:rFonts w:hint="eastAsia" w:ascii="仿宋" w:hAnsi="仿宋" w:eastAsia="仿宋" w:cs="仿宋"/>
          <w:color w:val="auto"/>
          <w:sz w:val="24"/>
          <w:highlight w:val="none"/>
          <w:u w:val="single"/>
        </w:rPr>
        <w:t xml:space="preserve">      按《工程质量保修书》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15.4.3 修复通知</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rPr>
        <w:t>承包人收到保修通知并到达工程现场的合理时间：</w:t>
      </w:r>
      <w:r>
        <w:rPr>
          <w:rFonts w:hint="eastAsia" w:ascii="仿宋" w:hAnsi="仿宋" w:eastAsia="仿宋" w:cs="仿宋"/>
          <w:color w:val="auto"/>
          <w:sz w:val="24"/>
          <w:highlight w:val="none"/>
          <w:u w:val="single"/>
        </w:rPr>
        <w:t xml:space="preserve">  12小时到场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16. 违约</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16.1 发包人违约</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16.1.1发包人违约的情形</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rPr>
        <w:t>发包人违约的其他情形：</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16.1.2 发包人违约的责任</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发包人违约责任的承担方式和计算方法：</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rPr>
        <w:t>（1）因发包人原因未能在计划开工日期前7天内下达开工通知的违约责任：</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（2）因发包人原因未能按合同约定支付合同价款的违约责任：</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（3）发包人违反第10.1款〔变更的范围〕第（2）项约定，自行实施被取消的工作或转由他人实施的违约责任：</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（4）发包人提供的材料、工程设备的规格、数量或质量不符合合同约定，或因发包人原因导致交货日期延误或交货地点变更等情况的违约责任：</w:t>
      </w:r>
      <w:r>
        <w:rPr>
          <w:rFonts w:hint="eastAsia" w:ascii="仿宋" w:hAnsi="仿宋" w:eastAsia="仿宋" w:cs="仿宋"/>
          <w:color w:val="auto"/>
          <w:sz w:val="24"/>
          <w:highlight w:val="none"/>
          <w:u w:val="single"/>
        </w:rPr>
        <w:t xml:space="preserve">   与工期有抵触的材料设备等延误，应承担工期延误责任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rPr>
        <w:t>（5）因发包人违反合同约定造成暂停施工的违约责任：</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（6）发包人无正当理由没有在约定期限内发出复工指示，导致承包人无法复工的违约责任：</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（7）其他：</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16.1.3 因发包人违约解除合同</w:t>
      </w:r>
    </w:p>
    <w:p>
      <w:pPr>
        <w:spacing w:line="440" w:lineRule="exact"/>
        <w:rPr>
          <w:rFonts w:ascii="仿宋" w:hAnsi="仿宋" w:eastAsia="仿宋" w:cs="仿宋"/>
          <w:color w:val="auto"/>
          <w:sz w:val="24"/>
          <w:highlight w:val="none"/>
        </w:rPr>
      </w:pPr>
      <w:r>
        <w:rPr>
          <w:rFonts w:hint="eastAsia" w:ascii="仿宋" w:hAnsi="仿宋" w:eastAsia="仿宋" w:cs="仿宋"/>
          <w:color w:val="auto"/>
          <w:sz w:val="24"/>
          <w:highlight w:val="none"/>
        </w:rPr>
        <w:t xml:space="preserve">    承包人按16.1.1项〔发包人违约的情形〕约定暂停施工满</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rPr>
        <w:t>天后发包人仍不纠正其违约行为并致使合同目的不能实现的，承包人有权解除合同。</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16.2 承包人违约</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16.2.1 承包人违约的情形</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rPr>
        <w:t>承包人违约的其他情形：</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16.2.2承包人违约的责任</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承包人违约责任的承担方式和计算方法：</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 xml:space="preserve">（1）在合同实施中，如承包人的施工队伍素质、力量、机械设备、安全文明施工管理不符合投标书的承诺，工程质量和进度明显达不到预定计划时，发包人可酌情扣减月进度款支付比例； </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 xml:space="preserve">（2）本工程严禁转包，如发生工程转包，除扣除履约保证金外，发包人有权中止合同并保留继续索赔的权利； </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 xml:space="preserve">（3）在施工过程中农民工工资应及时发放到位，不允许拖欠。若发生拖欠事件，则发包人有权优先支付农民工工资，在工程款中扣除该部分费用； </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（4）在工程保修期中，若发生质量问题，承包人应及时派专业人员维修，若承包人不及时维修，发包人有权自行维修，所发生的费用从承包人保修金中扣除；</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（5）在施工过程中承包人应切实加强对工程质量、进度、安全的管理，若发现有人举报，一经查实除无条件返工以外，发包人将对承包人处以贰万元以下的罚款；</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16.2.3 因承包人违约解除合同</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rPr>
        <w:t>关于承包人违约解除合同的特别约定：</w:t>
      </w:r>
      <w:r>
        <w:rPr>
          <w:rFonts w:hint="eastAsia" w:ascii="仿宋" w:hAnsi="仿宋" w:eastAsia="仿宋" w:cs="仿宋"/>
          <w:color w:val="auto"/>
          <w:sz w:val="24"/>
          <w:highlight w:val="none"/>
          <w:u w:val="single"/>
        </w:rPr>
        <w:t xml:space="preserve">因承包人原因，承包人在施工过程中不能按施工总进度计划完成各项施工任务，实际施工进度比施工进度计划滞后超过20天（含20天）的，发包人有权解除合同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发包人继续使用承包人在施工现场的材料、设备、临时工程、承包人文件和由承包人或以其名义编制的其他文件的费用承担方式：</w:t>
      </w:r>
      <w:r>
        <w:rPr>
          <w:rFonts w:hint="eastAsia" w:ascii="仿宋" w:hAnsi="仿宋" w:eastAsia="仿宋" w:cs="仿宋"/>
          <w:color w:val="auto"/>
          <w:sz w:val="24"/>
          <w:highlight w:val="none"/>
          <w:u w:val="single"/>
        </w:rPr>
        <w:t xml:space="preserve">  费用另行约定，由发包人承担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 xml:space="preserve">17. 不可抗力 </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17.1 不可抗力的确认</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rPr>
        <w:t xml:space="preserve">除通用合同条款约定的不可抗力事件之外，视为不可抗力的其他情形： </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17.4 因不可抗力解除合同</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合同解除后，发包人应在商定或确定发包人应支付款项后</w:t>
      </w:r>
      <w:r>
        <w:rPr>
          <w:rFonts w:hint="eastAsia" w:ascii="仿宋" w:hAnsi="仿宋" w:eastAsia="仿宋" w:cs="仿宋"/>
          <w:color w:val="auto"/>
          <w:sz w:val="24"/>
          <w:highlight w:val="none"/>
          <w:u w:val="single"/>
        </w:rPr>
        <w:t xml:space="preserve"> 90</w:t>
      </w:r>
      <w:r>
        <w:rPr>
          <w:rFonts w:hint="eastAsia" w:ascii="仿宋" w:hAnsi="仿宋" w:eastAsia="仿宋" w:cs="仿宋"/>
          <w:color w:val="auto"/>
          <w:sz w:val="24"/>
          <w:highlight w:val="none"/>
        </w:rPr>
        <w:t>天内完成款项的支付。</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18. 保险</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18.1 工程保险</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关于工程保险的特别约定：</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18.3 其他保险</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关于其他保险的约定：</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rPr>
        <w:t>承包人是否应为其施工设备等办理财产保险：</w:t>
      </w:r>
      <w:r>
        <w:rPr>
          <w:rFonts w:hint="eastAsia" w:ascii="仿宋" w:hAnsi="仿宋" w:eastAsia="仿宋" w:cs="仿宋"/>
          <w:color w:val="auto"/>
          <w:sz w:val="24"/>
          <w:highlight w:val="none"/>
          <w:u w:val="single"/>
        </w:rPr>
        <w:t xml:space="preserve">    按有关规定办理保险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18.7 通知义务</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rPr>
        <w:t>关于变更保险合同时的通知义务的约定：</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20. 争议解决</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20.3 争议评审</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rPr>
        <w:t>合同当事人是否同意将工程争议提交争议评审小组决定：</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rPr>
        <w:t xml:space="preserve">。  </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20.3.1 争议评审小组的确定</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rPr>
        <w:t>争议评审小组成员的确定：</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选定争议评审员的期限：</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争议评审小组成员的报酬承担方式：</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其他事项的约定：</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u w:val="single"/>
        </w:rPr>
      </w:pPr>
      <w:r>
        <w:rPr>
          <w:rFonts w:hint="eastAsia" w:ascii="仿宋" w:hAnsi="仿宋" w:eastAsia="仿宋" w:cs="仿宋"/>
          <w:color w:val="auto"/>
          <w:sz w:val="24"/>
          <w:highlight w:val="none"/>
        </w:rPr>
        <w:t>20.3.2 争议评审小组的决定</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合同当事人关于本项的约定：</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rPr>
        <w:t>。</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20.4仲裁或诉讼</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因合同及合同有关事项发生的争议，双方当事人一致同意提交杭州仲裁委员会申请仲裁；但双方当事人特别约定下列解决方式中第</w:t>
      </w:r>
      <w:r>
        <w:rPr>
          <w:rFonts w:hint="eastAsia" w:ascii="仿宋" w:hAnsi="仿宋" w:eastAsia="仿宋" w:cs="仿宋"/>
          <w:color w:val="auto"/>
          <w:sz w:val="24"/>
          <w:highlight w:val="none"/>
          <w:u w:val="single"/>
        </w:rPr>
        <w:t xml:space="preserve"> 2 </w:t>
      </w:r>
      <w:r>
        <w:rPr>
          <w:rFonts w:hint="eastAsia" w:ascii="仿宋" w:hAnsi="仿宋" w:eastAsia="仿宋" w:cs="仿宋"/>
          <w:color w:val="auto"/>
          <w:sz w:val="24"/>
          <w:highlight w:val="none"/>
        </w:rPr>
        <w:t>种方式解决争议的除外：</w:t>
      </w:r>
    </w:p>
    <w:p>
      <w:pPr>
        <w:spacing w:line="440" w:lineRule="exact"/>
        <w:ind w:firstLine="566" w:firstLineChars="236"/>
        <w:rPr>
          <w:rFonts w:ascii="仿宋" w:hAnsi="仿宋" w:eastAsia="仿宋" w:cs="仿宋"/>
          <w:color w:val="auto"/>
          <w:sz w:val="24"/>
          <w:highlight w:val="none"/>
        </w:rPr>
      </w:pPr>
      <w:r>
        <w:rPr>
          <w:rFonts w:hint="eastAsia" w:ascii="仿宋" w:hAnsi="仿宋" w:eastAsia="仿宋" w:cs="仿宋"/>
          <w:color w:val="auto"/>
          <w:sz w:val="24"/>
          <w:highlight w:val="none"/>
        </w:rPr>
        <w:t>（1）提交</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仲裁委员会申请仲裁；</w:t>
      </w:r>
    </w:p>
    <w:p>
      <w:pPr>
        <w:spacing w:line="360" w:lineRule="auto"/>
        <w:ind w:firstLine="566" w:firstLineChars="236"/>
        <w:jc w:val="left"/>
        <w:rPr>
          <w:rFonts w:ascii="仿宋" w:hAnsi="仿宋" w:eastAsia="仿宋" w:cs="仿宋"/>
          <w:color w:val="auto"/>
          <w:sz w:val="24"/>
          <w:highlight w:val="none"/>
        </w:rPr>
      </w:pPr>
      <w:r>
        <w:rPr>
          <w:rFonts w:hint="eastAsia" w:ascii="仿宋" w:hAnsi="仿宋" w:eastAsia="仿宋" w:cs="仿宋"/>
          <w:color w:val="auto"/>
          <w:sz w:val="24"/>
          <w:highlight w:val="none"/>
        </w:rPr>
        <w:t>（2）依法向</w:t>
      </w:r>
      <w:r>
        <w:rPr>
          <w:rFonts w:hint="eastAsia" w:ascii="仿宋" w:hAnsi="仿宋" w:eastAsia="仿宋" w:cs="仿宋"/>
          <w:color w:val="auto"/>
          <w:sz w:val="24"/>
          <w:highlight w:val="none"/>
          <w:u w:val="single"/>
        </w:rPr>
        <w:t xml:space="preserve">   杭州市  </w:t>
      </w:r>
      <w:r>
        <w:rPr>
          <w:rFonts w:hint="eastAsia" w:ascii="仿宋" w:hAnsi="仿宋" w:eastAsia="仿宋" w:cs="仿宋"/>
          <w:color w:val="auto"/>
          <w:sz w:val="24"/>
          <w:highlight w:val="none"/>
        </w:rPr>
        <w:t>人民法院起诉。</w:t>
      </w:r>
    </w:p>
    <w:p>
      <w:pPr>
        <w:spacing w:line="420" w:lineRule="exact"/>
        <w:ind w:firstLine="566" w:firstLineChars="236"/>
        <w:jc w:val="left"/>
        <w:rPr>
          <w:rFonts w:ascii="仿宋" w:hAnsi="仿宋" w:eastAsia="仿宋" w:cs="仿宋"/>
          <w:color w:val="auto"/>
          <w:sz w:val="24"/>
          <w:highlight w:val="none"/>
        </w:rPr>
      </w:pPr>
      <w:r>
        <w:rPr>
          <w:rFonts w:hint="eastAsia" w:ascii="仿宋" w:hAnsi="仿宋" w:eastAsia="仿宋" w:cs="仿宋"/>
          <w:color w:val="auto"/>
          <w:sz w:val="24"/>
          <w:highlight w:val="none"/>
        </w:rPr>
        <w:t>21．其他补充事项的约定</w:t>
      </w:r>
    </w:p>
    <w:p>
      <w:pPr>
        <w:spacing w:line="420" w:lineRule="exact"/>
        <w:ind w:firstLine="480" w:firstLineChars="200"/>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 xml:space="preserve"> </w:t>
      </w:r>
      <w:bookmarkEnd w:id="414"/>
      <w:r>
        <w:rPr>
          <w:rFonts w:hint="eastAsia" w:ascii="仿宋" w:hAnsi="仿宋" w:eastAsia="仿宋" w:cs="仿宋"/>
          <w:color w:val="auto"/>
          <w:sz w:val="24"/>
          <w:highlight w:val="none"/>
          <w:u w:val="single"/>
        </w:rPr>
        <w:t>21.1因承包人擅自变更设计发生的费用和由此导致发包人的直接损失，由承包人承担，延误的工期不予顺延。</w:t>
      </w:r>
    </w:p>
    <w:p>
      <w:pPr>
        <w:spacing w:line="420" w:lineRule="exact"/>
        <w:ind w:firstLine="480" w:firstLineChars="200"/>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21.2承包人提出的合理化建议涉及到的工程变更，须经招标人同意并办理相关变更审查手续。未经同意擅自更改的，承包人承担由此产生的费用，并赔偿发包人的有关损失，延误的工期不予顺延。</w:t>
      </w:r>
    </w:p>
    <w:p>
      <w:pPr>
        <w:spacing w:line="420" w:lineRule="exact"/>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21.3工程管理</w:t>
      </w:r>
    </w:p>
    <w:p>
      <w:pPr>
        <w:pStyle w:val="34"/>
        <w:spacing w:line="420" w:lineRule="exact"/>
        <w:ind w:firstLine="480" w:firstLineChars="200"/>
        <w:rPr>
          <w:rFonts w:ascii="仿宋" w:hAnsi="仿宋" w:eastAsia="仿宋" w:cs="仿宋"/>
          <w:bCs/>
          <w:color w:val="auto"/>
          <w:sz w:val="24"/>
          <w:szCs w:val="24"/>
          <w:highlight w:val="none"/>
          <w:u w:val="single"/>
        </w:rPr>
      </w:pPr>
      <w:r>
        <w:rPr>
          <w:rFonts w:hint="eastAsia" w:ascii="仿宋" w:hAnsi="仿宋" w:eastAsia="仿宋" w:cs="仿宋"/>
          <w:bCs/>
          <w:color w:val="auto"/>
          <w:sz w:val="24"/>
          <w:szCs w:val="24"/>
          <w:highlight w:val="none"/>
          <w:u w:val="single"/>
        </w:rPr>
        <w:t>（1）本工程承包范围中的工程项目，一律不得转包。一经发现，立即取消承包人的承包资格，并由承包人承担由此引起的一切经济损失和法律责任。</w:t>
      </w:r>
    </w:p>
    <w:p>
      <w:pPr>
        <w:pStyle w:val="34"/>
        <w:spacing w:line="420" w:lineRule="exact"/>
        <w:ind w:firstLine="480" w:firstLineChars="200"/>
        <w:rPr>
          <w:rFonts w:ascii="仿宋" w:hAnsi="仿宋" w:eastAsia="仿宋" w:cs="仿宋"/>
          <w:bCs/>
          <w:color w:val="auto"/>
          <w:sz w:val="24"/>
          <w:szCs w:val="24"/>
          <w:highlight w:val="none"/>
          <w:u w:val="single"/>
        </w:rPr>
      </w:pPr>
      <w:r>
        <w:rPr>
          <w:rFonts w:hint="eastAsia" w:ascii="仿宋" w:hAnsi="仿宋" w:eastAsia="仿宋" w:cs="仿宋"/>
          <w:bCs/>
          <w:color w:val="auto"/>
          <w:sz w:val="24"/>
          <w:szCs w:val="24"/>
          <w:highlight w:val="none"/>
        </w:rPr>
        <w:t xml:space="preserve">    </w:t>
      </w:r>
      <w:r>
        <w:rPr>
          <w:rFonts w:hint="eastAsia" w:ascii="仿宋" w:hAnsi="仿宋" w:eastAsia="仿宋" w:cs="仿宋"/>
          <w:bCs/>
          <w:color w:val="auto"/>
          <w:sz w:val="24"/>
          <w:szCs w:val="24"/>
          <w:highlight w:val="none"/>
          <w:u w:val="single"/>
        </w:rPr>
        <w:t>（2）承包人在投标书中承诺的工程项目经理及相应资质的专业技术、管理人员，无特殊情况且未经招标人同意，承包人不得调换和撤离，如未按投标书的人员到岗，则为承包人违约，将部分或全部扣除履约保证金中项目班子到岗费用。发包人有权要求承包人撤换不负责任、管理不力、违法乱纪造成严重的安全事故和工程质量事故者，直至工程项目经理。承包人不得姑息迁就、拖延撤换而妨碍工程进展。</w:t>
      </w:r>
    </w:p>
    <w:p>
      <w:pPr>
        <w:pStyle w:val="34"/>
        <w:spacing w:line="420" w:lineRule="exact"/>
        <w:ind w:firstLine="480" w:firstLineChars="200"/>
        <w:rPr>
          <w:rFonts w:ascii="仿宋" w:hAnsi="仿宋" w:eastAsia="仿宋" w:cs="仿宋"/>
          <w:bCs/>
          <w:color w:val="auto"/>
          <w:sz w:val="24"/>
          <w:szCs w:val="24"/>
          <w:highlight w:val="none"/>
          <w:u w:val="single"/>
        </w:rPr>
      </w:pPr>
      <w:r>
        <w:rPr>
          <w:rFonts w:hint="eastAsia" w:ascii="仿宋" w:hAnsi="仿宋" w:eastAsia="仿宋" w:cs="仿宋"/>
          <w:bCs/>
          <w:color w:val="auto"/>
          <w:sz w:val="24"/>
          <w:szCs w:val="24"/>
          <w:highlight w:val="none"/>
        </w:rPr>
        <w:t xml:space="preserve">    </w:t>
      </w:r>
      <w:r>
        <w:rPr>
          <w:rFonts w:hint="eastAsia" w:ascii="仿宋" w:hAnsi="仿宋" w:eastAsia="仿宋" w:cs="仿宋"/>
          <w:bCs/>
          <w:color w:val="auto"/>
          <w:sz w:val="24"/>
          <w:szCs w:val="24"/>
          <w:highlight w:val="none"/>
          <w:u w:val="single"/>
        </w:rPr>
        <w:t>（3）在工程施工过程中必须采取有效措施减少对附近居民和企业的正常生活或工作的影响。</w:t>
      </w:r>
    </w:p>
    <w:p>
      <w:pPr>
        <w:pStyle w:val="34"/>
        <w:spacing w:line="420" w:lineRule="exact"/>
        <w:ind w:firstLine="480" w:firstLineChars="200"/>
        <w:outlineLvl w:val="0"/>
        <w:rPr>
          <w:rFonts w:ascii="仿宋" w:hAnsi="仿宋" w:eastAsia="仿宋" w:cs="仿宋"/>
          <w:bCs/>
          <w:color w:val="auto"/>
          <w:sz w:val="24"/>
          <w:szCs w:val="24"/>
          <w:highlight w:val="none"/>
        </w:rPr>
      </w:pPr>
      <w:bookmarkStart w:id="416" w:name="_Toc23746"/>
      <w:bookmarkStart w:id="417" w:name="_Toc4128"/>
      <w:r>
        <w:rPr>
          <w:rFonts w:hint="eastAsia" w:ascii="仿宋" w:hAnsi="仿宋" w:eastAsia="仿宋" w:cs="仿宋"/>
          <w:bCs/>
          <w:color w:val="auto"/>
          <w:sz w:val="24"/>
          <w:szCs w:val="24"/>
          <w:highlight w:val="none"/>
        </w:rPr>
        <w:t>21.4安全管理和文明施工</w:t>
      </w:r>
      <w:bookmarkEnd w:id="416"/>
      <w:bookmarkEnd w:id="417"/>
    </w:p>
    <w:p>
      <w:pPr>
        <w:pStyle w:val="34"/>
        <w:spacing w:line="420" w:lineRule="exact"/>
        <w:ind w:firstLine="480" w:firstLineChars="200"/>
        <w:rPr>
          <w:rFonts w:ascii="仿宋" w:hAnsi="仿宋" w:eastAsia="仿宋" w:cs="仿宋"/>
          <w:bCs/>
          <w:color w:val="auto"/>
          <w:sz w:val="24"/>
          <w:szCs w:val="24"/>
          <w:highlight w:val="none"/>
          <w:u w:val="single"/>
        </w:rPr>
      </w:pPr>
      <w:r>
        <w:rPr>
          <w:rFonts w:hint="eastAsia" w:ascii="仿宋" w:hAnsi="仿宋" w:eastAsia="仿宋" w:cs="仿宋"/>
          <w:bCs/>
          <w:color w:val="auto"/>
          <w:sz w:val="24"/>
          <w:szCs w:val="24"/>
          <w:highlight w:val="none"/>
          <w:u w:val="single"/>
        </w:rPr>
        <w:t>（1）承包人应根据工程的特点，编制文明施工实施方案，在开工前5日内，将文明施工实施方案报市安全监督部门备案。</w:t>
      </w:r>
    </w:p>
    <w:p>
      <w:pPr>
        <w:pStyle w:val="34"/>
        <w:spacing w:line="420" w:lineRule="exact"/>
        <w:ind w:firstLine="480" w:firstLineChars="200"/>
        <w:rPr>
          <w:rFonts w:ascii="仿宋" w:hAnsi="仿宋" w:eastAsia="仿宋" w:cs="仿宋"/>
          <w:bCs/>
          <w:color w:val="auto"/>
          <w:sz w:val="24"/>
          <w:szCs w:val="24"/>
          <w:highlight w:val="none"/>
          <w:u w:val="single"/>
        </w:rPr>
      </w:pPr>
      <w:r>
        <w:rPr>
          <w:rFonts w:hint="eastAsia" w:ascii="仿宋" w:hAnsi="仿宋" w:eastAsia="仿宋" w:cs="仿宋"/>
          <w:bCs/>
          <w:color w:val="auto"/>
          <w:sz w:val="24"/>
          <w:szCs w:val="24"/>
          <w:highlight w:val="none"/>
          <w:u w:val="single"/>
        </w:rPr>
        <w:t>（2）承包人应在建设工地的主要出入口处设置醒目的施工标牌，标明工地总平面图、工程概况等。在施工区域或危险区域应设置醒目的警示标志，每天公示重大风险源监控牌。</w:t>
      </w:r>
    </w:p>
    <w:p>
      <w:pPr>
        <w:pStyle w:val="34"/>
        <w:spacing w:line="420" w:lineRule="exact"/>
        <w:ind w:firstLine="480" w:firstLineChars="200"/>
        <w:rPr>
          <w:rFonts w:ascii="仿宋" w:hAnsi="仿宋" w:eastAsia="仿宋" w:cs="仿宋"/>
          <w:bCs/>
          <w:color w:val="auto"/>
          <w:sz w:val="24"/>
          <w:szCs w:val="24"/>
          <w:highlight w:val="none"/>
          <w:u w:val="single"/>
        </w:rPr>
      </w:pPr>
      <w:r>
        <w:rPr>
          <w:rFonts w:hint="eastAsia" w:ascii="仿宋" w:hAnsi="仿宋" w:eastAsia="仿宋" w:cs="仿宋"/>
          <w:bCs/>
          <w:color w:val="auto"/>
          <w:sz w:val="24"/>
          <w:szCs w:val="24"/>
          <w:highlight w:val="none"/>
          <w:u w:val="single"/>
        </w:rPr>
        <w:t>（3）承包人在工地周边应设置围护，围护要牢固、顺直、整洁、美观。</w:t>
      </w:r>
    </w:p>
    <w:p>
      <w:pPr>
        <w:pStyle w:val="34"/>
        <w:spacing w:line="420" w:lineRule="exact"/>
        <w:ind w:firstLine="480" w:firstLineChars="200"/>
        <w:rPr>
          <w:rFonts w:ascii="仿宋" w:hAnsi="仿宋" w:eastAsia="仿宋" w:cs="仿宋"/>
          <w:bCs/>
          <w:color w:val="auto"/>
          <w:sz w:val="24"/>
          <w:szCs w:val="24"/>
          <w:highlight w:val="none"/>
          <w:u w:val="single"/>
        </w:rPr>
      </w:pPr>
      <w:r>
        <w:rPr>
          <w:rFonts w:hint="eastAsia" w:ascii="仿宋" w:hAnsi="仿宋" w:eastAsia="仿宋" w:cs="仿宋"/>
          <w:bCs/>
          <w:color w:val="auto"/>
          <w:sz w:val="24"/>
          <w:szCs w:val="24"/>
          <w:highlight w:val="none"/>
          <w:u w:val="single"/>
        </w:rPr>
        <w:t>（4）承包人应按批准的施工组织设计，保证施工区与非施工区严格分隔，施工现场的道路、排水畅通，设施布置有序，材料、机具设备堆放整齐，水、电设施管理规范，职工生活设施及居住条件应符合有关卫生、环境要求。</w:t>
      </w:r>
    </w:p>
    <w:p>
      <w:pPr>
        <w:pStyle w:val="34"/>
        <w:spacing w:line="420" w:lineRule="exact"/>
        <w:ind w:firstLine="480" w:firstLineChars="200"/>
        <w:rPr>
          <w:rFonts w:ascii="仿宋" w:hAnsi="仿宋" w:eastAsia="仿宋" w:cs="仿宋"/>
          <w:bCs/>
          <w:color w:val="auto"/>
          <w:sz w:val="24"/>
          <w:szCs w:val="24"/>
          <w:highlight w:val="none"/>
          <w:u w:val="single"/>
        </w:rPr>
      </w:pPr>
      <w:r>
        <w:rPr>
          <w:rFonts w:hint="eastAsia" w:ascii="仿宋" w:hAnsi="仿宋" w:eastAsia="仿宋" w:cs="仿宋"/>
          <w:bCs/>
          <w:color w:val="auto"/>
          <w:sz w:val="24"/>
          <w:szCs w:val="24"/>
          <w:highlight w:val="none"/>
          <w:u w:val="single"/>
        </w:rPr>
        <w:t>（5）承包人对施工场地周边一定范围环境负有责任，如：施工中不得随意排放垃圾和其他浑浊废弃物，不得随意抛掷各类垃圾、建筑材料等杂物；运输建筑材料、垃圾和工程渣土的车辆应采取有效措施保证行驶途中不污染道路和环境等。同时承包人应及时与当地环卫部门签订《杭州市在建道路环境卫生管理责任书》，并在施工中进行维护。</w:t>
      </w:r>
    </w:p>
    <w:p>
      <w:pPr>
        <w:pStyle w:val="34"/>
        <w:spacing w:line="420" w:lineRule="exact"/>
        <w:ind w:firstLine="480" w:firstLineChars="200"/>
        <w:rPr>
          <w:rFonts w:ascii="仿宋" w:hAnsi="仿宋" w:eastAsia="仿宋" w:cs="仿宋"/>
          <w:bCs/>
          <w:color w:val="auto"/>
          <w:sz w:val="24"/>
          <w:szCs w:val="24"/>
          <w:highlight w:val="none"/>
          <w:u w:val="single"/>
        </w:rPr>
      </w:pPr>
      <w:r>
        <w:rPr>
          <w:rFonts w:hint="eastAsia" w:ascii="仿宋" w:hAnsi="仿宋" w:eastAsia="仿宋" w:cs="仿宋"/>
          <w:bCs/>
          <w:color w:val="auto"/>
          <w:sz w:val="24"/>
          <w:szCs w:val="24"/>
          <w:highlight w:val="none"/>
          <w:u w:val="single"/>
        </w:rPr>
        <w:t>（6）由于管理混乱，造成的罚款与损失除由承包人自行承担外，发包人将提出警告要求整改并保留暂缓支付工程款的权利，并进行相应处罚，以确保本工程文明施工管理得到贯彻执行。</w:t>
      </w:r>
    </w:p>
    <w:p>
      <w:pPr>
        <w:pStyle w:val="34"/>
        <w:spacing w:line="420" w:lineRule="exact"/>
        <w:ind w:firstLine="480" w:firstLineChars="200"/>
        <w:rPr>
          <w:rFonts w:ascii="仿宋" w:hAnsi="仿宋" w:eastAsia="仿宋" w:cs="仿宋"/>
          <w:bCs/>
          <w:color w:val="auto"/>
          <w:sz w:val="24"/>
          <w:szCs w:val="24"/>
          <w:highlight w:val="none"/>
          <w:u w:val="single"/>
        </w:rPr>
      </w:pPr>
      <w:r>
        <w:rPr>
          <w:rFonts w:hint="eastAsia" w:ascii="仿宋" w:hAnsi="仿宋" w:eastAsia="仿宋" w:cs="仿宋"/>
          <w:bCs/>
          <w:color w:val="auto"/>
          <w:sz w:val="24"/>
          <w:szCs w:val="24"/>
          <w:highlight w:val="none"/>
          <w:u w:val="single"/>
        </w:rPr>
        <w:t>（7）具体执行办法按杭州市建委的有关文件执行及本项目施工现场安全及文明施工违规处罚规定。</w:t>
      </w:r>
    </w:p>
    <w:p>
      <w:pPr>
        <w:pStyle w:val="34"/>
        <w:spacing w:line="420" w:lineRule="exact"/>
        <w:ind w:firstLine="480" w:firstLineChars="200"/>
        <w:rPr>
          <w:rFonts w:ascii="仿宋" w:hAnsi="仿宋" w:eastAsia="仿宋" w:cs="仿宋"/>
          <w:bCs/>
          <w:color w:val="auto"/>
          <w:sz w:val="24"/>
          <w:szCs w:val="24"/>
          <w:highlight w:val="none"/>
          <w:u w:val="single"/>
        </w:rPr>
      </w:pPr>
      <w:r>
        <w:rPr>
          <w:rFonts w:hint="eastAsia" w:ascii="仿宋" w:hAnsi="仿宋" w:eastAsia="仿宋" w:cs="仿宋"/>
          <w:bCs/>
          <w:color w:val="auto"/>
          <w:sz w:val="24"/>
          <w:szCs w:val="24"/>
          <w:highlight w:val="none"/>
          <w:u w:val="single"/>
        </w:rPr>
        <w:t>（8）承包人应加强工程现场的安全文明施工措施，有关费用在投标报价中充分考虑。</w:t>
      </w:r>
    </w:p>
    <w:p>
      <w:pPr>
        <w:pStyle w:val="34"/>
        <w:spacing w:line="420" w:lineRule="exact"/>
        <w:ind w:firstLine="360" w:firstLineChars="150"/>
        <w:rPr>
          <w:rFonts w:ascii="仿宋" w:hAnsi="仿宋" w:eastAsia="仿宋" w:cs="仿宋"/>
          <w:bCs/>
          <w:color w:val="auto"/>
          <w:sz w:val="24"/>
          <w:szCs w:val="24"/>
          <w:highlight w:val="none"/>
          <w:u w:val="single"/>
        </w:rPr>
      </w:pPr>
      <w:r>
        <w:rPr>
          <w:rFonts w:hint="eastAsia" w:ascii="仿宋" w:hAnsi="仿宋" w:eastAsia="仿宋" w:cs="仿宋"/>
          <w:bCs/>
          <w:color w:val="auto"/>
          <w:sz w:val="24"/>
          <w:szCs w:val="24"/>
          <w:highlight w:val="none"/>
          <w:u w:val="single"/>
        </w:rPr>
        <w:t>（9）承包人必须在承诺将工程运输业务发包给有资质和证照齐全的工程运输单位。</w:t>
      </w:r>
    </w:p>
    <w:p>
      <w:pPr>
        <w:widowControl/>
        <w:rPr>
          <w:rFonts w:ascii="仿宋" w:hAnsi="仿宋" w:eastAsia="仿宋" w:cs="仿宋"/>
          <w:b/>
          <w:bCs/>
          <w:color w:val="auto"/>
          <w:spacing w:val="20"/>
          <w:sz w:val="24"/>
          <w:highlight w:val="none"/>
        </w:rPr>
      </w:pPr>
    </w:p>
    <w:p>
      <w:pPr>
        <w:spacing w:line="360" w:lineRule="auto"/>
        <w:jc w:val="left"/>
        <w:rPr>
          <w:rFonts w:ascii="仿宋" w:hAnsi="仿宋" w:eastAsia="仿宋" w:cs="仿宋"/>
          <w:b/>
          <w:color w:val="auto"/>
          <w:sz w:val="24"/>
          <w:highlight w:val="none"/>
        </w:rPr>
        <w:sectPr>
          <w:footerReference r:id="rId13" w:type="first"/>
          <w:headerReference r:id="rId10" w:type="default"/>
          <w:footerReference r:id="rId11" w:type="default"/>
          <w:footerReference r:id="rId12" w:type="even"/>
          <w:pgSz w:w="11906" w:h="16838"/>
          <w:pgMar w:top="1418" w:right="1555" w:bottom="1418" w:left="1531" w:header="851" w:footer="992" w:gutter="0"/>
          <w:cols w:space="720" w:num="1"/>
          <w:titlePg/>
          <w:docGrid w:type="lines" w:linePitch="312" w:charSpace="0"/>
        </w:sectPr>
      </w:pPr>
    </w:p>
    <w:p>
      <w:pPr>
        <w:spacing w:line="360" w:lineRule="auto"/>
        <w:jc w:val="left"/>
        <w:rPr>
          <w:rFonts w:ascii="仿宋" w:hAnsi="仿宋" w:eastAsia="仿宋" w:cs="仿宋"/>
          <w:b/>
          <w:color w:val="auto"/>
          <w:sz w:val="24"/>
          <w:highlight w:val="none"/>
        </w:rPr>
      </w:pPr>
      <w:r>
        <w:rPr>
          <w:rFonts w:hint="eastAsia" w:ascii="仿宋" w:hAnsi="仿宋" w:eastAsia="仿宋" w:cs="仿宋"/>
          <w:b/>
          <w:color w:val="auto"/>
          <w:sz w:val="24"/>
          <w:highlight w:val="none"/>
        </w:rPr>
        <w:t>附件</w:t>
      </w:r>
    </w:p>
    <w:p>
      <w:pPr>
        <w:spacing w:line="360" w:lineRule="auto"/>
        <w:jc w:val="left"/>
        <w:rPr>
          <w:rFonts w:ascii="仿宋" w:hAnsi="仿宋" w:eastAsia="仿宋" w:cs="仿宋"/>
          <w:color w:val="auto"/>
          <w:sz w:val="24"/>
          <w:highlight w:val="none"/>
        </w:rPr>
      </w:pPr>
      <w:r>
        <w:rPr>
          <w:rFonts w:hint="eastAsia" w:ascii="仿宋" w:hAnsi="仿宋" w:eastAsia="仿宋" w:cs="仿宋"/>
          <w:color w:val="auto"/>
          <w:sz w:val="24"/>
          <w:highlight w:val="none"/>
        </w:rPr>
        <w:t>附件1：工程质量保修书</w:t>
      </w:r>
    </w:p>
    <w:p>
      <w:pPr>
        <w:spacing w:line="360" w:lineRule="auto"/>
        <w:jc w:val="left"/>
        <w:rPr>
          <w:rFonts w:ascii="仿宋" w:hAnsi="仿宋" w:eastAsia="仿宋" w:cs="仿宋"/>
          <w:color w:val="auto"/>
          <w:sz w:val="24"/>
          <w:highlight w:val="none"/>
        </w:rPr>
      </w:pPr>
    </w:p>
    <w:p>
      <w:pPr>
        <w:spacing w:line="360" w:lineRule="auto"/>
        <w:jc w:val="left"/>
        <w:rPr>
          <w:rFonts w:ascii="仿宋" w:hAnsi="仿宋" w:eastAsia="仿宋" w:cs="仿宋"/>
          <w:color w:val="auto"/>
          <w:sz w:val="24"/>
          <w:highlight w:val="none"/>
        </w:rPr>
        <w:sectPr>
          <w:pgSz w:w="11906" w:h="16838"/>
          <w:pgMar w:top="1418" w:right="1555" w:bottom="1418" w:left="1531" w:header="851" w:footer="992" w:gutter="0"/>
          <w:cols w:space="720" w:num="1"/>
          <w:titlePg/>
          <w:docGrid w:type="lines" w:linePitch="312" w:charSpace="0"/>
        </w:sectPr>
      </w:pPr>
    </w:p>
    <w:p>
      <w:pPr>
        <w:spacing w:line="440" w:lineRule="exact"/>
        <w:rPr>
          <w:rFonts w:ascii="仿宋" w:hAnsi="仿宋" w:eastAsia="仿宋" w:cs="仿宋"/>
          <w:color w:val="auto"/>
          <w:sz w:val="24"/>
          <w:highlight w:val="none"/>
        </w:rPr>
      </w:pPr>
      <w:r>
        <w:rPr>
          <w:rFonts w:hint="eastAsia" w:ascii="仿宋" w:hAnsi="仿宋" w:eastAsia="仿宋" w:cs="仿宋"/>
          <w:color w:val="auto"/>
          <w:sz w:val="24"/>
          <w:highlight w:val="none"/>
        </w:rPr>
        <w:t>附</w:t>
      </w:r>
      <w:bookmarkStart w:id="418" w:name="_Toc296891054"/>
      <w:bookmarkStart w:id="419" w:name="_Toc296944565"/>
      <w:bookmarkStart w:id="420" w:name="_Toc296347225"/>
      <w:bookmarkStart w:id="421" w:name="_Toc267261693"/>
      <w:bookmarkStart w:id="422" w:name="_Toc296891266"/>
      <w:bookmarkStart w:id="423" w:name="_Toc296346727"/>
      <w:bookmarkStart w:id="424" w:name="_Toc296503226"/>
      <w:r>
        <w:rPr>
          <w:rFonts w:hint="eastAsia" w:ascii="仿宋" w:hAnsi="仿宋" w:eastAsia="仿宋" w:cs="仿宋"/>
          <w:color w:val="auto"/>
          <w:sz w:val="24"/>
          <w:highlight w:val="none"/>
        </w:rPr>
        <w:t>件1：</w:t>
      </w:r>
      <w:bookmarkEnd w:id="418"/>
      <w:bookmarkEnd w:id="419"/>
      <w:bookmarkEnd w:id="420"/>
      <w:bookmarkEnd w:id="421"/>
      <w:bookmarkEnd w:id="422"/>
      <w:bookmarkEnd w:id="423"/>
      <w:bookmarkEnd w:id="424"/>
      <w:r>
        <w:rPr>
          <w:rFonts w:hint="eastAsia" w:ascii="仿宋" w:hAnsi="仿宋" w:eastAsia="仿宋" w:cs="仿宋"/>
          <w:color w:val="auto"/>
          <w:sz w:val="24"/>
          <w:highlight w:val="none"/>
        </w:rPr>
        <w:t xml:space="preserve">    </w:t>
      </w:r>
    </w:p>
    <w:p>
      <w:pPr>
        <w:spacing w:before="120" w:beforeLines="50" w:after="120" w:afterLines="50" w:line="4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工程质量保修书</w:t>
      </w:r>
    </w:p>
    <w:p>
      <w:pP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发包人（全称）：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w:t>
      </w:r>
    </w:p>
    <w:p>
      <w:pPr>
        <w:spacing w:line="440" w:lineRule="exact"/>
        <w:rPr>
          <w:rFonts w:ascii="仿宋" w:hAnsi="仿宋" w:eastAsia="仿宋" w:cs="仿宋"/>
          <w:color w:val="auto"/>
          <w:sz w:val="24"/>
          <w:highlight w:val="none"/>
        </w:rPr>
      </w:pPr>
      <w:r>
        <w:rPr>
          <w:rFonts w:hint="eastAsia" w:ascii="仿宋" w:hAnsi="仿宋" w:eastAsia="仿宋" w:cs="仿宋"/>
          <w:color w:val="auto"/>
          <w:sz w:val="24"/>
          <w:highlight w:val="none"/>
        </w:rPr>
        <w:t>　　承包人（全称）：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w:t>
      </w:r>
    </w:p>
    <w:p>
      <w:pPr>
        <w:spacing w:line="440" w:lineRule="exact"/>
        <w:rPr>
          <w:rFonts w:ascii="仿宋" w:hAnsi="仿宋" w:eastAsia="仿宋" w:cs="仿宋"/>
          <w:color w:val="auto"/>
          <w:sz w:val="24"/>
          <w:highlight w:val="none"/>
        </w:rPr>
      </w:pPr>
    </w:p>
    <w:p>
      <w:pPr>
        <w:spacing w:line="30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发包人和承包人根据《中华人民共和国建筑法》和《建设工程质量管理条例》，经协商一致就</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（工程全称）签订工程质量保修书。</w:t>
      </w:r>
    </w:p>
    <w:p>
      <w:pPr>
        <w:spacing w:line="300" w:lineRule="auto"/>
        <w:ind w:firstLine="480" w:firstLineChars="200"/>
        <w:outlineLvl w:val="0"/>
        <w:rPr>
          <w:rFonts w:ascii="仿宋" w:hAnsi="仿宋" w:eastAsia="仿宋" w:cs="仿宋"/>
          <w:color w:val="auto"/>
          <w:sz w:val="24"/>
          <w:highlight w:val="none"/>
        </w:rPr>
      </w:pPr>
      <w:bookmarkStart w:id="425" w:name="_Toc1398"/>
      <w:bookmarkStart w:id="426" w:name="_Toc29925"/>
      <w:r>
        <w:rPr>
          <w:rFonts w:hint="eastAsia" w:ascii="仿宋" w:hAnsi="仿宋" w:eastAsia="仿宋" w:cs="仿宋"/>
          <w:color w:val="auto"/>
          <w:sz w:val="24"/>
          <w:highlight w:val="none"/>
        </w:rPr>
        <w:t>一、工程质量保修范围和内容</w:t>
      </w:r>
      <w:bookmarkEnd w:id="425"/>
      <w:bookmarkEnd w:id="426"/>
    </w:p>
    <w:p>
      <w:pPr>
        <w:spacing w:line="30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承包人在质量保修期内，按照有关法律规定和合同约定，承担工程质量保修责任。</w:t>
      </w:r>
    </w:p>
    <w:p>
      <w:pPr>
        <w:spacing w:line="30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r>
        <w:rPr>
          <w:rFonts w:hint="eastAsia" w:ascii="仿宋" w:hAnsi="仿宋" w:eastAsia="仿宋" w:cs="仿宋"/>
          <w:color w:val="auto"/>
          <w:sz w:val="24"/>
          <w:highlight w:val="none"/>
          <w:u w:val="single"/>
        </w:rPr>
        <w:t>保修承包施工范围内所有完工工程。</w:t>
      </w:r>
    </w:p>
    <w:p>
      <w:pPr>
        <w:spacing w:line="300" w:lineRule="auto"/>
        <w:ind w:firstLine="480" w:firstLineChars="200"/>
        <w:outlineLvl w:val="0"/>
        <w:rPr>
          <w:rFonts w:ascii="仿宋" w:hAnsi="仿宋" w:eastAsia="仿宋" w:cs="仿宋"/>
          <w:color w:val="auto"/>
          <w:sz w:val="24"/>
          <w:highlight w:val="none"/>
        </w:rPr>
      </w:pPr>
      <w:bookmarkStart w:id="427" w:name="_Toc29294"/>
      <w:bookmarkStart w:id="428" w:name="_Toc27061"/>
      <w:r>
        <w:rPr>
          <w:rFonts w:hint="eastAsia" w:ascii="仿宋" w:hAnsi="仿宋" w:eastAsia="仿宋" w:cs="仿宋"/>
          <w:color w:val="auto"/>
          <w:sz w:val="24"/>
          <w:highlight w:val="none"/>
        </w:rPr>
        <w:t>二、质量保修期</w:t>
      </w:r>
      <w:bookmarkEnd w:id="427"/>
      <w:bookmarkEnd w:id="428"/>
    </w:p>
    <w:p>
      <w:pPr>
        <w:spacing w:line="30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根据《建设工程质量管理条例》及有关规定，工程的质量保修期如下：</w:t>
      </w:r>
    </w:p>
    <w:p>
      <w:pPr>
        <w:spacing w:line="30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1．地基基础工程和主体结构工程为设计文件规定的工程合理使用年限；</w:t>
      </w:r>
    </w:p>
    <w:p>
      <w:pPr>
        <w:spacing w:line="30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2．屋面防水工程、有防水要求的卫生间、房间和外墙面的防渗为</w:t>
      </w:r>
      <w:r>
        <w:rPr>
          <w:rFonts w:hint="eastAsia" w:ascii="仿宋" w:hAnsi="仿宋" w:eastAsia="仿宋" w:cs="仿宋"/>
          <w:color w:val="auto"/>
          <w:sz w:val="24"/>
          <w:highlight w:val="none"/>
          <w:u w:val="single"/>
        </w:rPr>
        <w:t xml:space="preserve">  8  </w:t>
      </w:r>
      <w:r>
        <w:rPr>
          <w:rFonts w:hint="eastAsia" w:ascii="仿宋" w:hAnsi="仿宋" w:eastAsia="仿宋" w:cs="仿宋"/>
          <w:color w:val="auto"/>
          <w:sz w:val="24"/>
          <w:highlight w:val="none"/>
        </w:rPr>
        <w:t>年；</w:t>
      </w:r>
    </w:p>
    <w:p>
      <w:pPr>
        <w:spacing w:line="30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3．装修工程为</w:t>
      </w:r>
      <w:r>
        <w:rPr>
          <w:rFonts w:hint="eastAsia" w:ascii="仿宋" w:hAnsi="仿宋" w:eastAsia="仿宋" w:cs="仿宋"/>
          <w:color w:val="auto"/>
          <w:sz w:val="24"/>
          <w:highlight w:val="none"/>
          <w:u w:val="single"/>
        </w:rPr>
        <w:t xml:space="preserve">  2   </w:t>
      </w:r>
      <w:r>
        <w:rPr>
          <w:rFonts w:hint="eastAsia" w:ascii="仿宋" w:hAnsi="仿宋" w:eastAsia="仿宋" w:cs="仿宋"/>
          <w:color w:val="auto"/>
          <w:sz w:val="24"/>
          <w:highlight w:val="none"/>
        </w:rPr>
        <w:t>年；</w:t>
      </w:r>
    </w:p>
    <w:p>
      <w:pPr>
        <w:spacing w:line="30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4．电气管线、给排水管道、设备安装工程为</w:t>
      </w:r>
      <w:r>
        <w:rPr>
          <w:rFonts w:hint="eastAsia" w:ascii="仿宋" w:hAnsi="仿宋" w:eastAsia="仿宋" w:cs="仿宋"/>
          <w:color w:val="auto"/>
          <w:sz w:val="24"/>
          <w:highlight w:val="none"/>
          <w:u w:val="single"/>
        </w:rPr>
        <w:t xml:space="preserve">  2  </w:t>
      </w:r>
      <w:r>
        <w:rPr>
          <w:rFonts w:hint="eastAsia" w:ascii="仿宋" w:hAnsi="仿宋" w:eastAsia="仿宋" w:cs="仿宋"/>
          <w:color w:val="auto"/>
          <w:sz w:val="24"/>
          <w:highlight w:val="none"/>
        </w:rPr>
        <w:t>年；</w:t>
      </w:r>
    </w:p>
    <w:p>
      <w:pPr>
        <w:spacing w:line="30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5．供热与供冷系统为</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rPr>
        <w:t>个采暖期、供冷期；</w:t>
      </w:r>
    </w:p>
    <w:p>
      <w:pPr>
        <w:spacing w:line="30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6．住宅小区内的给排水设施、道路等配套工程为</w:t>
      </w:r>
      <w:r>
        <w:rPr>
          <w:rFonts w:hint="eastAsia" w:ascii="仿宋" w:hAnsi="仿宋" w:eastAsia="仿宋" w:cs="仿宋"/>
          <w:color w:val="auto"/>
          <w:sz w:val="24"/>
          <w:highlight w:val="none"/>
          <w:u w:val="single"/>
        </w:rPr>
        <w:t xml:space="preserve">   2   </w:t>
      </w:r>
      <w:r>
        <w:rPr>
          <w:rFonts w:hint="eastAsia" w:ascii="仿宋" w:hAnsi="仿宋" w:eastAsia="仿宋" w:cs="仿宋"/>
          <w:color w:val="auto"/>
          <w:sz w:val="24"/>
          <w:highlight w:val="none"/>
        </w:rPr>
        <w:t>年；</w:t>
      </w:r>
    </w:p>
    <w:p>
      <w:pPr>
        <w:spacing w:line="30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7．其他项目保修期限约定如下：</w:t>
      </w:r>
      <w:r>
        <w:rPr>
          <w:rFonts w:hint="eastAsia" w:ascii="仿宋" w:hAnsi="仿宋" w:eastAsia="仿宋" w:cs="仿宋"/>
          <w:color w:val="auto"/>
          <w:sz w:val="24"/>
          <w:highlight w:val="none"/>
          <w:u w:val="single"/>
        </w:rPr>
        <w:t xml:space="preserve">                       。</w:t>
      </w:r>
    </w:p>
    <w:p>
      <w:pPr>
        <w:spacing w:line="30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质量保修期自工程竣工验收合格之日起计算。</w:t>
      </w:r>
    </w:p>
    <w:p>
      <w:pPr>
        <w:spacing w:line="300" w:lineRule="auto"/>
        <w:ind w:firstLine="480" w:firstLineChars="200"/>
        <w:outlineLvl w:val="0"/>
        <w:rPr>
          <w:rFonts w:ascii="仿宋" w:hAnsi="仿宋" w:eastAsia="仿宋" w:cs="仿宋"/>
          <w:color w:val="auto"/>
          <w:sz w:val="24"/>
          <w:highlight w:val="none"/>
        </w:rPr>
      </w:pPr>
      <w:bookmarkStart w:id="429" w:name="_Toc22777"/>
      <w:bookmarkStart w:id="430" w:name="_Toc21272"/>
      <w:r>
        <w:rPr>
          <w:rFonts w:hint="eastAsia" w:ascii="仿宋" w:hAnsi="仿宋" w:eastAsia="仿宋" w:cs="仿宋"/>
          <w:color w:val="auto"/>
          <w:sz w:val="24"/>
          <w:highlight w:val="none"/>
        </w:rPr>
        <w:t>三、缺陷责任期</w:t>
      </w:r>
      <w:bookmarkEnd w:id="429"/>
      <w:bookmarkEnd w:id="430"/>
    </w:p>
    <w:p>
      <w:pPr>
        <w:spacing w:line="30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工程缺陷责任期为</w:t>
      </w:r>
      <w:r>
        <w:rPr>
          <w:rFonts w:hint="eastAsia" w:ascii="仿宋" w:hAnsi="仿宋" w:eastAsia="仿宋" w:cs="仿宋"/>
          <w:color w:val="auto"/>
          <w:sz w:val="24"/>
          <w:highlight w:val="none"/>
          <w:u w:val="single"/>
        </w:rPr>
        <w:t xml:space="preserve"> 24 </w:t>
      </w:r>
      <w:r>
        <w:rPr>
          <w:rFonts w:hint="eastAsia" w:ascii="仿宋" w:hAnsi="仿宋" w:eastAsia="仿宋" w:cs="仿宋"/>
          <w:color w:val="auto"/>
          <w:sz w:val="24"/>
          <w:highlight w:val="none"/>
        </w:rPr>
        <w:t>个月，缺陷责任期自工程竣工验收合格之日起计算。单位工程先于全部工程进行验收，单位工程缺陷责任期自单位工程验收合格之日期起算。</w:t>
      </w:r>
    </w:p>
    <w:p>
      <w:pPr>
        <w:spacing w:line="300" w:lineRule="auto"/>
        <w:ind w:firstLine="480" w:firstLineChars="200"/>
        <w:outlineLvl w:val="0"/>
        <w:rPr>
          <w:rFonts w:ascii="仿宋" w:hAnsi="仿宋" w:eastAsia="仿宋" w:cs="仿宋"/>
          <w:color w:val="auto"/>
          <w:sz w:val="24"/>
          <w:highlight w:val="none"/>
        </w:rPr>
      </w:pPr>
      <w:bookmarkStart w:id="431" w:name="_Toc8152"/>
      <w:bookmarkStart w:id="432" w:name="_Toc253"/>
      <w:r>
        <w:rPr>
          <w:rFonts w:hint="eastAsia" w:ascii="仿宋" w:hAnsi="仿宋" w:eastAsia="仿宋" w:cs="仿宋"/>
          <w:color w:val="auto"/>
          <w:sz w:val="24"/>
          <w:highlight w:val="none"/>
        </w:rPr>
        <w:t>四、质量保修责任</w:t>
      </w:r>
      <w:bookmarkEnd w:id="431"/>
      <w:bookmarkEnd w:id="432"/>
    </w:p>
    <w:p>
      <w:pPr>
        <w:spacing w:line="30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1．属于保修范围、内容的项目，承包人应当在接到保修通知之日起7天内派人保修。承包人不在约定期限内派人保修的，发包人可以委托他人修理。</w:t>
      </w:r>
    </w:p>
    <w:p>
      <w:pPr>
        <w:spacing w:line="30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2．发生紧急事故需抢修的，承包人在接到事故通知后，应当立即到达事故现场抢修。</w:t>
      </w:r>
    </w:p>
    <w:p>
      <w:pPr>
        <w:spacing w:line="30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30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4．质量保修完成后，由发包人组织验收。</w:t>
      </w:r>
    </w:p>
    <w:p>
      <w:pPr>
        <w:spacing w:line="300" w:lineRule="auto"/>
        <w:ind w:firstLine="480" w:firstLineChars="200"/>
        <w:outlineLvl w:val="0"/>
        <w:rPr>
          <w:rFonts w:ascii="仿宋" w:hAnsi="仿宋" w:eastAsia="仿宋" w:cs="仿宋"/>
          <w:color w:val="auto"/>
          <w:sz w:val="24"/>
          <w:highlight w:val="none"/>
        </w:rPr>
      </w:pPr>
      <w:bookmarkStart w:id="433" w:name="_Toc21482"/>
      <w:bookmarkStart w:id="434" w:name="_Toc29651"/>
      <w:r>
        <w:rPr>
          <w:rFonts w:hint="eastAsia" w:ascii="仿宋" w:hAnsi="仿宋" w:eastAsia="仿宋" w:cs="仿宋"/>
          <w:color w:val="auto"/>
          <w:sz w:val="24"/>
          <w:highlight w:val="none"/>
        </w:rPr>
        <w:t>五、保修费用</w:t>
      </w:r>
      <w:bookmarkEnd w:id="433"/>
      <w:bookmarkEnd w:id="434"/>
    </w:p>
    <w:p>
      <w:pPr>
        <w:spacing w:line="30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保修费用由造成质量缺陷的责任方承担。</w:t>
      </w:r>
    </w:p>
    <w:p>
      <w:pPr>
        <w:spacing w:line="360" w:lineRule="auto"/>
        <w:ind w:firstLine="482" w:firstLineChars="200"/>
        <w:jc w:val="left"/>
        <w:rPr>
          <w:rFonts w:ascii="仿宋" w:hAnsi="仿宋" w:eastAsia="仿宋" w:cs="仿宋"/>
          <w:color w:val="auto"/>
          <w:sz w:val="24"/>
          <w:highlight w:val="none"/>
        </w:rPr>
      </w:pPr>
      <w:r>
        <w:rPr>
          <w:rFonts w:hint="eastAsia" w:ascii="仿宋" w:hAnsi="仿宋" w:eastAsia="仿宋" w:cs="仿宋"/>
          <w:b/>
          <w:color w:val="auto"/>
          <w:sz w:val="24"/>
          <w:highlight w:val="none"/>
        </w:rPr>
        <w:t>六</w:t>
      </w:r>
      <w:r>
        <w:rPr>
          <w:rFonts w:hint="eastAsia" w:ascii="仿宋" w:hAnsi="仿宋" w:eastAsia="仿宋" w:cs="仿宋"/>
          <w:color w:val="auto"/>
          <w:sz w:val="24"/>
          <w:highlight w:val="none"/>
        </w:rPr>
        <w:t>、双方约定的其他工程质量保修事项：</w:t>
      </w:r>
    </w:p>
    <w:p>
      <w:pPr>
        <w:spacing w:line="300" w:lineRule="auto"/>
        <w:ind w:firstLine="480" w:firstLineChars="200"/>
        <w:outlineLvl w:val="0"/>
        <w:rPr>
          <w:rFonts w:ascii="仿宋" w:hAnsi="仿宋" w:eastAsia="仿宋" w:cs="仿宋"/>
          <w:color w:val="auto"/>
          <w:sz w:val="24"/>
          <w:highlight w:val="none"/>
        </w:rPr>
      </w:pPr>
      <w:bookmarkStart w:id="435" w:name="_Toc13751"/>
      <w:bookmarkStart w:id="436" w:name="_Toc29973"/>
      <w:r>
        <w:rPr>
          <w:rFonts w:hint="eastAsia" w:ascii="仿宋" w:hAnsi="仿宋" w:eastAsia="仿宋" w:cs="仿宋"/>
          <w:color w:val="auto"/>
          <w:sz w:val="24"/>
          <w:highlight w:val="none"/>
        </w:rPr>
        <w:t>1、发包人在保修期内发现质量问题并通知承包人，承包人应及时派专业人员进行维修，如承包人未及时派专业人员进行维修，发包人有权请其它人进行维修，由此产生的费用将由承包人承担，同时承包人将承担因维修延误给发包人造成的一切损失。</w:t>
      </w:r>
      <w:bookmarkEnd w:id="435"/>
      <w:bookmarkEnd w:id="436"/>
    </w:p>
    <w:p>
      <w:pPr>
        <w:spacing w:line="300" w:lineRule="auto"/>
        <w:ind w:firstLine="480" w:firstLineChars="200"/>
        <w:outlineLvl w:val="0"/>
        <w:rPr>
          <w:rFonts w:ascii="仿宋" w:hAnsi="仿宋" w:eastAsia="仿宋" w:cs="仿宋"/>
          <w:color w:val="auto"/>
          <w:sz w:val="24"/>
          <w:highlight w:val="none"/>
        </w:rPr>
      </w:pPr>
      <w:bookmarkStart w:id="437" w:name="_Toc4894"/>
      <w:bookmarkStart w:id="438" w:name="_Toc12551"/>
      <w:r>
        <w:rPr>
          <w:rFonts w:hint="eastAsia" w:ascii="仿宋" w:hAnsi="仿宋" w:eastAsia="仿宋" w:cs="仿宋"/>
          <w:color w:val="auto"/>
          <w:sz w:val="24"/>
          <w:highlight w:val="none"/>
        </w:rPr>
        <w:t>2、工程质量保修书由发包人、承包人在工程竣工验收前共同签署，作为施工合同附件，其有效期限至保修期满。</w:t>
      </w:r>
      <w:bookmarkEnd w:id="437"/>
      <w:bookmarkEnd w:id="438"/>
    </w:p>
    <w:p>
      <w:pPr>
        <w:spacing w:line="360" w:lineRule="auto"/>
        <w:rPr>
          <w:rFonts w:ascii="仿宋" w:hAnsi="仿宋" w:eastAsia="仿宋" w:cs="仿宋"/>
          <w:color w:val="auto"/>
          <w:sz w:val="24"/>
          <w:highlight w:val="none"/>
        </w:rPr>
      </w:pPr>
    </w:p>
    <w:p>
      <w:pPr>
        <w:spacing w:line="360" w:lineRule="auto"/>
        <w:ind w:firstLine="420"/>
        <w:rPr>
          <w:rFonts w:ascii="仿宋" w:hAnsi="仿宋" w:eastAsia="仿宋" w:cs="仿宋"/>
          <w:color w:val="auto"/>
          <w:sz w:val="24"/>
          <w:highlight w:val="none"/>
        </w:rPr>
      </w:pPr>
    </w:p>
    <w:p>
      <w:pPr>
        <w:spacing w:line="360" w:lineRule="auto"/>
        <w:ind w:firstLine="484" w:firstLineChars="202"/>
        <w:rPr>
          <w:rFonts w:ascii="仿宋" w:hAnsi="仿宋" w:eastAsia="仿宋" w:cs="仿宋"/>
          <w:color w:val="auto"/>
          <w:sz w:val="24"/>
          <w:highlight w:val="none"/>
        </w:rPr>
      </w:pPr>
      <w:r>
        <w:rPr>
          <w:rFonts w:hint="eastAsia" w:ascii="仿宋" w:hAnsi="仿宋" w:eastAsia="仿宋" w:cs="仿宋"/>
          <w:color w:val="auto"/>
          <w:sz w:val="24"/>
          <w:highlight w:val="none"/>
        </w:rPr>
        <w:t>发包人(公章)：</w:t>
      </w:r>
      <w:r>
        <w:rPr>
          <w:rFonts w:hint="eastAsia" w:ascii="仿宋" w:hAnsi="仿宋" w:eastAsia="仿宋" w:cs="仿宋"/>
          <w:color w:val="auto"/>
          <w:sz w:val="24"/>
          <w:highlight w:val="none"/>
          <w:u w:val="single"/>
        </w:rPr>
        <w:t xml:space="preserve">        </w:t>
      </w:r>
      <w:r>
        <w:rPr>
          <w:rFonts w:hint="eastAsia" w:ascii="仿宋" w:hAnsi="仿宋" w:eastAsia="仿宋" w:cs="仿宋"/>
          <w:color w:val="auto"/>
          <w:sz w:val="24"/>
          <w:highlight w:val="none"/>
        </w:rPr>
        <w:t xml:space="preserve"> 承包人(公章)：</w:t>
      </w:r>
      <w:r>
        <w:rPr>
          <w:rFonts w:hint="eastAsia" w:ascii="仿宋" w:hAnsi="仿宋" w:eastAsia="仿宋" w:cs="仿宋"/>
          <w:color w:val="auto"/>
          <w:sz w:val="24"/>
          <w:highlight w:val="none"/>
          <w:u w:val="single"/>
        </w:rPr>
        <w:t xml:space="preserve">           </w:t>
      </w:r>
    </w:p>
    <w:p>
      <w:pPr>
        <w:spacing w:line="360" w:lineRule="auto"/>
        <w:ind w:firstLine="484" w:firstLineChars="202"/>
        <w:rPr>
          <w:rFonts w:ascii="仿宋" w:hAnsi="仿宋" w:eastAsia="仿宋" w:cs="仿宋"/>
          <w:color w:val="auto"/>
          <w:sz w:val="24"/>
          <w:highlight w:val="non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rPr>
        <w:t xml:space="preserve"> 地  址：</w:t>
      </w:r>
      <w:r>
        <w:rPr>
          <w:rFonts w:hint="eastAsia" w:ascii="仿宋" w:hAnsi="仿宋" w:eastAsia="仿宋" w:cs="仿宋"/>
          <w:color w:val="auto"/>
          <w:sz w:val="24"/>
          <w:highlight w:val="none"/>
          <w:u w:val="single"/>
        </w:rPr>
        <w:t xml:space="preserve">       </w:t>
      </w:r>
    </w:p>
    <w:p>
      <w:pPr>
        <w:spacing w:line="360" w:lineRule="auto"/>
        <w:ind w:firstLine="484" w:firstLineChars="202"/>
        <w:rPr>
          <w:rFonts w:ascii="仿宋" w:hAnsi="仿宋" w:eastAsia="仿宋" w:cs="仿宋"/>
          <w:color w:val="auto"/>
          <w:sz w:val="24"/>
          <w:highlight w:val="none"/>
        </w:rPr>
      </w:pPr>
      <w:r>
        <w:rPr>
          <w:rFonts w:hint="eastAsia" w:ascii="仿宋" w:hAnsi="仿宋" w:eastAsia="仿宋" w:cs="仿宋"/>
          <w:color w:val="auto"/>
          <w:sz w:val="24"/>
          <w:highlight w:val="none"/>
        </w:rPr>
        <w:t>法定代表人(签字)：</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法定代表人(签字)：</w:t>
      </w:r>
      <w:r>
        <w:rPr>
          <w:rFonts w:hint="eastAsia" w:ascii="仿宋" w:hAnsi="仿宋" w:eastAsia="仿宋" w:cs="仿宋"/>
          <w:color w:val="auto"/>
          <w:sz w:val="24"/>
          <w:highlight w:val="none"/>
          <w:u w:val="single"/>
        </w:rPr>
        <w:t xml:space="preserve">       </w:t>
      </w:r>
    </w:p>
    <w:p>
      <w:pPr>
        <w:spacing w:line="360" w:lineRule="auto"/>
        <w:ind w:firstLine="484" w:firstLineChars="202"/>
        <w:rPr>
          <w:rFonts w:ascii="仿宋" w:hAnsi="仿宋" w:eastAsia="仿宋" w:cs="仿宋"/>
          <w:color w:val="auto"/>
          <w:sz w:val="24"/>
          <w:highlight w:val="none"/>
        </w:rPr>
      </w:pPr>
      <w:r>
        <w:rPr>
          <w:rFonts w:hint="eastAsia" w:ascii="仿宋" w:hAnsi="仿宋" w:eastAsia="仿宋" w:cs="仿宋"/>
          <w:color w:val="auto"/>
          <w:sz w:val="24"/>
          <w:highlight w:val="none"/>
        </w:rPr>
        <w:t>委托代理人(签字)：</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委托代理人(签字)：</w:t>
      </w:r>
      <w:r>
        <w:rPr>
          <w:rFonts w:hint="eastAsia" w:ascii="仿宋" w:hAnsi="仿宋" w:eastAsia="仿宋" w:cs="仿宋"/>
          <w:color w:val="auto"/>
          <w:sz w:val="24"/>
          <w:highlight w:val="none"/>
          <w:u w:val="single"/>
        </w:rPr>
        <w:t xml:space="preserve">       </w:t>
      </w:r>
    </w:p>
    <w:p>
      <w:pPr>
        <w:spacing w:line="360" w:lineRule="auto"/>
        <w:ind w:firstLine="484" w:firstLineChars="202"/>
        <w:rPr>
          <w:rFonts w:ascii="仿宋" w:hAnsi="仿宋" w:eastAsia="仿宋" w:cs="仿宋"/>
          <w:color w:val="auto"/>
          <w:sz w:val="24"/>
          <w:highlight w:val="none"/>
        </w:rPr>
      </w:pPr>
      <w:r>
        <w:rPr>
          <w:rFonts w:hint="eastAsia" w:ascii="仿宋" w:hAnsi="仿宋" w:eastAsia="仿宋" w:cs="仿宋"/>
          <w:color w:val="auto"/>
          <w:sz w:val="24"/>
          <w:highlight w:val="none"/>
        </w:rPr>
        <w:t>电  话：</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电  话：</w:t>
      </w:r>
      <w:r>
        <w:rPr>
          <w:rFonts w:hint="eastAsia" w:ascii="仿宋" w:hAnsi="仿宋" w:eastAsia="仿宋" w:cs="仿宋"/>
          <w:color w:val="auto"/>
          <w:sz w:val="24"/>
          <w:highlight w:val="none"/>
          <w:u w:val="single"/>
        </w:rPr>
        <w:t xml:space="preserve">     </w:t>
      </w:r>
    </w:p>
    <w:p>
      <w:pPr>
        <w:spacing w:line="360" w:lineRule="auto"/>
        <w:ind w:firstLine="484" w:firstLineChars="202"/>
        <w:rPr>
          <w:rFonts w:ascii="仿宋" w:hAnsi="仿宋" w:eastAsia="仿宋" w:cs="仿宋"/>
          <w:color w:val="auto"/>
          <w:sz w:val="24"/>
          <w:highlight w:val="none"/>
        </w:rPr>
      </w:pPr>
      <w:r>
        <w:rPr>
          <w:rFonts w:hint="eastAsia" w:ascii="仿宋" w:hAnsi="仿宋" w:eastAsia="仿宋" w:cs="仿宋"/>
          <w:color w:val="auto"/>
          <w:sz w:val="24"/>
          <w:highlight w:val="none"/>
        </w:rPr>
        <w:t>传  真：</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传  真：</w:t>
      </w:r>
      <w:r>
        <w:rPr>
          <w:rFonts w:hint="eastAsia" w:ascii="仿宋" w:hAnsi="仿宋" w:eastAsia="仿宋" w:cs="仿宋"/>
          <w:color w:val="auto"/>
          <w:sz w:val="24"/>
          <w:highlight w:val="none"/>
          <w:u w:val="single"/>
        </w:rPr>
        <w:t xml:space="preserve">     </w:t>
      </w:r>
    </w:p>
    <w:p>
      <w:pPr>
        <w:spacing w:line="360" w:lineRule="auto"/>
        <w:ind w:firstLine="484" w:firstLineChars="202"/>
        <w:rPr>
          <w:rFonts w:ascii="仿宋" w:hAnsi="仿宋" w:eastAsia="仿宋" w:cs="仿宋"/>
          <w:color w:val="auto"/>
          <w:sz w:val="24"/>
          <w:highlight w:val="none"/>
        </w:rPr>
      </w:pPr>
      <w:r>
        <w:rPr>
          <w:rFonts w:hint="eastAsia" w:ascii="仿宋" w:hAnsi="仿宋" w:eastAsia="仿宋" w:cs="仿宋"/>
          <w:color w:val="auto"/>
          <w:sz w:val="24"/>
          <w:highlight w:val="none"/>
        </w:rPr>
        <w:t>开户银行：</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开户银行：</w:t>
      </w:r>
      <w:r>
        <w:rPr>
          <w:rFonts w:hint="eastAsia" w:ascii="仿宋" w:hAnsi="仿宋" w:eastAsia="仿宋" w:cs="仿宋"/>
          <w:color w:val="auto"/>
          <w:sz w:val="24"/>
          <w:highlight w:val="none"/>
          <w:u w:val="single"/>
        </w:rPr>
        <w:t xml:space="preserve">   </w:t>
      </w:r>
    </w:p>
    <w:p>
      <w:pPr>
        <w:spacing w:line="360" w:lineRule="auto"/>
        <w:ind w:firstLine="484" w:firstLineChars="202"/>
        <w:rPr>
          <w:rFonts w:ascii="仿宋" w:hAnsi="仿宋" w:eastAsia="仿宋" w:cs="仿宋"/>
          <w:color w:val="auto"/>
          <w:sz w:val="24"/>
          <w:highlight w:val="none"/>
        </w:rPr>
      </w:pPr>
      <w:r>
        <w:rPr>
          <w:rFonts w:hint="eastAsia" w:ascii="仿宋" w:hAnsi="仿宋" w:eastAsia="仿宋" w:cs="仿宋"/>
          <w:color w:val="auto"/>
          <w:sz w:val="24"/>
          <w:highlight w:val="none"/>
        </w:rPr>
        <w:t>账  号：</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rPr>
        <w:t xml:space="preserve">  账  号：</w:t>
      </w:r>
      <w:r>
        <w:rPr>
          <w:rFonts w:hint="eastAsia" w:ascii="仿宋" w:hAnsi="仿宋" w:eastAsia="仿宋" w:cs="仿宋"/>
          <w:color w:val="auto"/>
          <w:sz w:val="24"/>
          <w:highlight w:val="none"/>
          <w:u w:val="single"/>
        </w:rPr>
        <w:t xml:space="preserve">     </w:t>
      </w:r>
    </w:p>
    <w:p>
      <w:pPr>
        <w:spacing w:line="360" w:lineRule="auto"/>
        <w:ind w:firstLine="484" w:firstLineChars="202"/>
        <w:rPr>
          <w:rFonts w:ascii="仿宋" w:hAnsi="仿宋" w:eastAsia="仿宋" w:cs="仿宋"/>
          <w:color w:val="auto"/>
          <w:sz w:val="24"/>
          <w:highlight w:val="none"/>
        </w:rPr>
      </w:pPr>
      <w:r>
        <w:rPr>
          <w:rFonts w:hint="eastAsia" w:ascii="仿宋" w:hAnsi="仿宋" w:eastAsia="仿宋" w:cs="仿宋"/>
          <w:color w:val="auto"/>
          <w:sz w:val="24"/>
          <w:highlight w:val="none"/>
        </w:rPr>
        <w:t>邮政编码：</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rPr>
        <w:t xml:space="preserve"> 邮政编码：</w:t>
      </w:r>
      <w:r>
        <w:rPr>
          <w:rFonts w:hint="eastAsia" w:ascii="仿宋" w:hAnsi="仿宋" w:eastAsia="仿宋" w:cs="仿宋"/>
          <w:color w:val="auto"/>
          <w:sz w:val="24"/>
          <w:highlight w:val="none"/>
          <w:u w:val="single"/>
        </w:rPr>
        <w:t xml:space="preserve">   </w:t>
      </w:r>
    </w:p>
    <w:p>
      <w:pPr>
        <w:rPr>
          <w:rFonts w:hAnsi="宋体"/>
          <w:color w:val="auto"/>
          <w:szCs w:val="21"/>
          <w:highlight w:val="none"/>
        </w:rPr>
      </w:pPr>
      <w:r>
        <w:rPr>
          <w:rFonts w:hint="eastAsia" w:ascii="仿宋" w:hAnsi="仿宋" w:eastAsia="仿宋" w:cs="仿宋"/>
          <w:b/>
          <w:color w:val="auto"/>
          <w:sz w:val="24"/>
          <w:highlight w:val="none"/>
        </w:rPr>
        <w:br w:type="page"/>
      </w:r>
    </w:p>
    <w:p>
      <w:pPr>
        <w:spacing w:line="360" w:lineRule="auto"/>
        <w:ind w:left="-420" w:leftChars="-200" w:right="-420" w:rightChars="-200" w:firstLine="480" w:firstLineChars="200"/>
        <w:jc w:val="center"/>
        <w:outlineLvl w:val="0"/>
        <w:rPr>
          <w:rFonts w:ascii="宋体" w:hAnsi="宋体" w:cs="宋体"/>
          <w:color w:val="auto"/>
          <w:sz w:val="24"/>
          <w:highlight w:val="none"/>
        </w:rPr>
      </w:pPr>
    </w:p>
    <w:p>
      <w:pPr>
        <w:spacing w:line="360" w:lineRule="auto"/>
        <w:ind w:left="-420" w:leftChars="-200" w:right="-420" w:rightChars="-200" w:firstLine="480" w:firstLineChars="200"/>
        <w:jc w:val="center"/>
        <w:outlineLvl w:val="0"/>
        <w:rPr>
          <w:rFonts w:ascii="宋体" w:hAnsi="宋体" w:cs="宋体"/>
          <w:color w:val="auto"/>
          <w:sz w:val="24"/>
          <w:highlight w:val="none"/>
        </w:rPr>
        <w:sectPr>
          <w:headerReference r:id="rId14" w:type="first"/>
          <w:footerReference r:id="rId16" w:type="first"/>
          <w:footerReference r:id="rId15" w:type="default"/>
          <w:pgSz w:w="11906" w:h="16838"/>
          <w:pgMar w:top="1440" w:right="1080" w:bottom="1440" w:left="1080" w:header="851" w:footer="992" w:gutter="0"/>
          <w:cols w:space="720" w:num="1"/>
          <w:titlePg/>
          <w:docGrid w:linePitch="312" w:charSpace="0"/>
        </w:sectPr>
      </w:pPr>
    </w:p>
    <w:p>
      <w:pPr>
        <w:snapToGrid w:val="0"/>
        <w:spacing w:line="360" w:lineRule="auto"/>
        <w:jc w:val="center"/>
        <w:outlineLvl w:val="0"/>
        <w:rPr>
          <w:rFonts w:ascii="宋体" w:hAnsi="宋体" w:cs="宋体"/>
          <w:b/>
          <w:color w:val="auto"/>
          <w:sz w:val="36"/>
          <w:szCs w:val="20"/>
          <w:highlight w:val="none"/>
        </w:rPr>
      </w:pPr>
      <w:r>
        <w:rPr>
          <w:rFonts w:hint="eastAsia" w:ascii="宋体" w:hAnsi="宋体" w:cs="宋体"/>
          <w:b/>
          <w:color w:val="auto"/>
          <w:sz w:val="36"/>
          <w:szCs w:val="20"/>
          <w:highlight w:val="none"/>
        </w:rPr>
        <w:t>第六部分</w:t>
      </w:r>
      <w:bookmarkEnd w:id="398"/>
      <w:r>
        <w:rPr>
          <w:rFonts w:hint="eastAsia" w:ascii="宋体" w:hAnsi="宋体" w:cs="宋体"/>
          <w:b/>
          <w:color w:val="auto"/>
          <w:sz w:val="36"/>
          <w:szCs w:val="20"/>
          <w:highlight w:val="none"/>
        </w:rPr>
        <w:t xml:space="preserve"> </w:t>
      </w:r>
      <w:bookmarkEnd w:id="399"/>
      <w:r>
        <w:rPr>
          <w:rFonts w:hint="eastAsia" w:ascii="宋体" w:hAnsi="宋体" w:cs="宋体"/>
          <w:b/>
          <w:color w:val="auto"/>
          <w:sz w:val="36"/>
          <w:szCs w:val="20"/>
          <w:highlight w:val="none"/>
        </w:rPr>
        <w:t>应提交的有关格式范例</w:t>
      </w:r>
    </w:p>
    <w:p>
      <w:pPr>
        <w:spacing w:line="360" w:lineRule="auto"/>
        <w:jc w:val="center"/>
        <w:outlineLvl w:val="0"/>
        <w:rPr>
          <w:rFonts w:ascii="宋体" w:hAnsi="宋体" w:cs="宋体"/>
          <w:b/>
          <w:color w:val="auto"/>
          <w:kern w:val="0"/>
          <w:sz w:val="36"/>
          <w:szCs w:val="36"/>
          <w:highlight w:val="none"/>
        </w:rPr>
      </w:pP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资格文件部分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（1）符合参加政府采购活动应当具备的一般条件的承诺函……………（页码）</w:t>
      </w:r>
    </w:p>
    <w:p>
      <w:pPr>
        <w:snapToGrid w:val="0"/>
        <w:spacing w:line="360" w:lineRule="auto"/>
        <w:rPr>
          <w:rFonts w:ascii="宋体" w:hAnsi="宋体" w:cs="宋体"/>
          <w:color w:val="auto"/>
          <w:sz w:val="24"/>
          <w:highlight w:val="none"/>
        </w:rPr>
      </w:pPr>
      <w:r>
        <w:rPr>
          <w:rFonts w:hint="eastAsia" w:ascii="宋体" w:hAnsi="宋体" w:cs="宋体"/>
          <w:snapToGrid w:val="0"/>
          <w:color w:val="auto"/>
          <w:kern w:val="28"/>
          <w:sz w:val="24"/>
          <w:szCs w:val="20"/>
          <w:highlight w:val="none"/>
        </w:rPr>
        <w:t>（2）联合协议</w:t>
      </w:r>
      <w:r>
        <w:rPr>
          <w:rFonts w:hint="eastAsia" w:ascii="宋体" w:hAnsi="宋体" w:cs="宋体"/>
          <w:color w:val="auto"/>
          <w:sz w:val="24"/>
          <w:highlight w:val="none"/>
        </w:rPr>
        <w:t>………………………………………………………………（页码）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）本项目的特定资格要求………………………………………………（页码）</w:t>
      </w:r>
    </w:p>
    <w:p>
      <w:pPr>
        <w:snapToGrid w:val="0"/>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color w:val="auto"/>
          <w:kern w:val="0"/>
          <w:sz w:val="24"/>
          <w:highlight w:val="none"/>
        </w:rPr>
        <w:br w:type="page"/>
      </w:r>
      <w:r>
        <w:rPr>
          <w:rFonts w:hint="eastAsia" w:ascii="宋体" w:hAnsi="宋体" w:cs="宋体"/>
          <w:b/>
          <w:color w:val="auto"/>
          <w:kern w:val="0"/>
          <w:sz w:val="32"/>
          <w:szCs w:val="32"/>
          <w:highlight w:val="none"/>
        </w:rPr>
        <w:t xml:space="preserve">  一、 符合参加政府采购活动应当具备的一般条件的承诺函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（采购人）、（采购代理机构）：</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我方参与（项目名称）【项目编号：（采购编号）】政府采购活动，郑重承诺：</w:t>
      </w:r>
    </w:p>
    <w:p>
      <w:pPr>
        <w:snapToGrid w:val="0"/>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rPr>
        <w:t>（一）具备《中华人民共和国政府采购法》第二十二条第一款规定的条件：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1、具有独立承担民事责任的能力；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2、具有良好的商业信誉和健全的财务会计制度； </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3、具有履行合同所必需的设备和专业技术能力；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4、有依法缴纳税收和社会保障资金的良好记录；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5、参加政府采购活动前三年内，在经营活动中没有重大违法记录；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6、具有法律、行政法规规定的其他条件。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（三）不存在以下情况：</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color w:val="auto"/>
          <w:kern w:val="0"/>
          <w:sz w:val="24"/>
          <w:highlight w:val="none"/>
        </w:rPr>
      </w:pPr>
      <w:r>
        <w:rPr>
          <w:rFonts w:hint="eastAsia" w:ascii="宋体" w:hAnsi="宋体" w:cs="宋体"/>
          <w:color w:val="auto"/>
          <w:kern w:val="0"/>
          <w:sz w:val="24"/>
          <w:highlight w:val="none"/>
          <w:lang w:val="zh-CN"/>
        </w:rPr>
        <w:t>供应商名称(电子签名)：</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snapToGrid w:val="0"/>
        <w:spacing w:line="360" w:lineRule="auto"/>
        <w:ind w:right="480"/>
        <w:jc w:val="center"/>
        <w:rPr>
          <w:rFonts w:ascii="宋体" w:hAnsi="宋体" w:cs="宋体"/>
          <w:b/>
          <w:color w:val="auto"/>
          <w:kern w:val="0"/>
          <w:sz w:val="32"/>
          <w:szCs w:val="32"/>
          <w:highlight w:val="none"/>
        </w:rPr>
        <w:sectPr>
          <w:headerReference r:id="rId17" w:type="first"/>
          <w:footerReference r:id="rId19" w:type="first"/>
          <w:footerReference r:id="rId18" w:type="default"/>
          <w:pgSz w:w="11906" w:h="16838"/>
          <w:pgMar w:top="1440" w:right="1080" w:bottom="1440" w:left="1080" w:header="851" w:footer="992" w:gutter="0"/>
          <w:cols w:space="720" w:num="1"/>
          <w:titlePg/>
          <w:docGrid w:linePitch="312" w:charSpace="0"/>
        </w:sectPr>
      </w:pPr>
    </w:p>
    <w:p>
      <w:pPr>
        <w:widowControl/>
        <w:spacing w:line="360" w:lineRule="auto"/>
        <w:ind w:firstLine="643" w:firstLineChars="20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二、联合协议（如果有）</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[以联合体形式参与的，提供联合协议（附件5）；本项目不接受联合体或者供应商不以联合体形式投参与的，则不需要提供]</w:t>
      </w:r>
    </w:p>
    <w:p>
      <w:pPr>
        <w:snapToGrid w:val="0"/>
        <w:spacing w:line="360" w:lineRule="auto"/>
        <w:ind w:right="480"/>
        <w:jc w:val="center"/>
        <w:rPr>
          <w:rFonts w:ascii="宋体" w:hAnsi="宋体" w:cs="宋体"/>
          <w:b/>
          <w:color w:val="auto"/>
          <w:kern w:val="0"/>
          <w:sz w:val="32"/>
          <w:szCs w:val="32"/>
          <w:highlight w:val="none"/>
        </w:rPr>
        <w:sectPr>
          <w:pgSz w:w="11906" w:h="16838"/>
          <w:pgMar w:top="1440" w:right="1080" w:bottom="1440" w:left="1080" w:header="851" w:footer="992" w:gutter="0"/>
          <w:cols w:space="720" w:num="1"/>
          <w:titlePg/>
          <w:docGrid w:linePitch="312" w:charSpace="0"/>
        </w:sect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三、落实政府采购政策需满足的资格要求</w:t>
      </w:r>
    </w:p>
    <w:p>
      <w:pPr>
        <w:spacing w:line="360" w:lineRule="auto"/>
        <w:rPr>
          <w:rFonts w:ascii="宋体" w:hAnsi="宋体" w:cs="宋体"/>
          <w:color w:val="auto"/>
          <w:sz w:val="24"/>
          <w:highlight w:val="none"/>
        </w:rPr>
      </w:pPr>
      <w:r>
        <w:rPr>
          <w:rFonts w:hint="eastAsia" w:ascii="宋体" w:hAnsi="宋体" w:cs="宋体"/>
          <w:color w:val="auto"/>
          <w:sz w:val="24"/>
          <w:highlight w:val="none"/>
        </w:rPr>
        <w:t>（根据竞争性磋商公告落实政府采购政策需满足的资格要求选择提供相应的材料；未要求的，无需提供）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color w:val="auto"/>
          <w:sz w:val="24"/>
          <w:highlight w:val="none"/>
        </w:rPr>
      </w:pPr>
      <w:r>
        <w:rPr>
          <w:rFonts w:hint="eastAsia" w:ascii="宋体" w:hAnsi="宋体" w:cs="宋体"/>
          <w:b/>
          <w:color w:val="auto"/>
          <w:sz w:val="24"/>
          <w:highlight w:val="none"/>
        </w:rPr>
        <w:t>A</w:t>
      </w:r>
      <w:r>
        <w:rPr>
          <w:rFonts w:hint="eastAsia" w:ascii="宋体" w:hAnsi="宋体" w:cs="宋体"/>
          <w:color w:val="auto"/>
          <w:sz w:val="24"/>
          <w:highlight w:val="none"/>
        </w:rPr>
        <w:t>.专门面向中小企业，工程全部由符合政策要求的中小企业（或小微企业）承建的，提供相应的中小企业声明函（附件</w:t>
      </w:r>
      <w:r>
        <w:rPr>
          <w:rFonts w:ascii="宋体" w:hAnsi="宋体" w:cs="宋体"/>
          <w:color w:val="auto"/>
          <w:sz w:val="24"/>
          <w:highlight w:val="none"/>
        </w:rPr>
        <w:t>7</w:t>
      </w:r>
      <w:r>
        <w:rPr>
          <w:rFonts w:hint="eastAsia" w:ascii="宋体" w:hAnsi="宋体" w:cs="宋体"/>
          <w:color w:val="auto"/>
          <w:sz w:val="24"/>
          <w:highlight w:val="none"/>
        </w:rPr>
        <w:t xml:space="preserve">）。 </w:t>
      </w:r>
    </w:p>
    <w:p>
      <w:pPr>
        <w:widowControl/>
        <w:spacing w:line="360" w:lineRule="auto"/>
        <w:ind w:firstLine="480"/>
        <w:jc w:val="left"/>
        <w:rPr>
          <w:rFonts w:ascii="宋体" w:hAnsi="宋体" w:cs="宋体"/>
          <w:color w:val="auto"/>
          <w:sz w:val="24"/>
          <w:highlight w:val="none"/>
        </w:rPr>
      </w:pPr>
    </w:p>
    <w:p>
      <w:pPr>
        <w:widowControl/>
        <w:spacing w:line="360" w:lineRule="auto"/>
        <w:ind w:firstLine="472" w:firstLineChars="196"/>
        <w:jc w:val="left"/>
        <w:rPr>
          <w:rFonts w:ascii="宋体" w:hAnsi="宋体" w:cs="宋体"/>
          <w:color w:val="auto"/>
          <w:sz w:val="24"/>
          <w:highlight w:val="none"/>
        </w:rPr>
      </w:pPr>
      <w:r>
        <w:rPr>
          <w:rFonts w:hint="eastAsia" w:ascii="宋体" w:hAnsi="宋体" w:cs="宋体"/>
          <w:b/>
          <w:color w:val="auto"/>
          <w:sz w:val="24"/>
          <w:highlight w:val="none"/>
        </w:rPr>
        <w:t>B.</w:t>
      </w:r>
      <w:r>
        <w:rPr>
          <w:rFonts w:hint="eastAsia" w:ascii="宋体" w:hAnsi="宋体" w:cs="宋体"/>
          <w:color w:val="auto"/>
          <w:sz w:val="24"/>
          <w:highlight w:val="none"/>
        </w:rPr>
        <w:t>要求以联合体形式参加的，提供联合协议（附件</w:t>
      </w:r>
      <w:r>
        <w:rPr>
          <w:rFonts w:ascii="宋体" w:hAnsi="宋体" w:cs="宋体"/>
          <w:color w:val="auto"/>
          <w:sz w:val="24"/>
          <w:highlight w:val="none"/>
        </w:rPr>
        <w:t>5</w:t>
      </w:r>
      <w:r>
        <w:rPr>
          <w:rFonts w:hint="eastAsia" w:ascii="宋体" w:hAnsi="宋体" w:cs="宋体"/>
          <w:color w:val="auto"/>
          <w:sz w:val="24"/>
          <w:highlight w:val="none"/>
        </w:rPr>
        <w:t>）和中小企业声明函（附件</w:t>
      </w:r>
      <w:r>
        <w:rPr>
          <w:rFonts w:ascii="宋体" w:hAnsi="宋体" w:cs="宋体"/>
          <w:color w:val="auto"/>
          <w:sz w:val="24"/>
          <w:highlight w:val="none"/>
        </w:rPr>
        <w:t>7</w:t>
      </w:r>
      <w:r>
        <w:rPr>
          <w:rFonts w:hint="eastAsia" w:ascii="宋体" w:hAnsi="宋体" w:cs="宋体"/>
          <w:color w:val="auto"/>
          <w:sz w:val="24"/>
          <w:highlight w:val="none"/>
        </w:rPr>
        <w:t>），联合协议中中小企业合同金额应当达到竞争性磋商公告载明的比例；如果供应商本身提供所有标的均由中小企业承建的，</w:t>
      </w:r>
      <w:r>
        <w:rPr>
          <w:rFonts w:hint="eastAsia" w:ascii="宋体" w:hAnsi="宋体" w:cs="宋体"/>
          <w:color w:val="auto"/>
          <w:spacing w:val="8"/>
          <w:kern w:val="0"/>
          <w:sz w:val="24"/>
          <w:highlight w:val="none"/>
        </w:rPr>
        <w:t>并相应达到了前述比例要求，</w:t>
      </w:r>
      <w:r>
        <w:rPr>
          <w:rFonts w:hint="eastAsia" w:ascii="宋体" w:hAnsi="宋体" w:cs="宋体"/>
          <w:color w:val="auto"/>
          <w:sz w:val="24"/>
          <w:highlight w:val="none"/>
        </w:rPr>
        <w:t>视同符合了资格条件，无需再与其他中小企业组成联合体参加政府采购活动，无需提供联合协议。</w:t>
      </w:r>
    </w:p>
    <w:p>
      <w:pPr>
        <w:snapToGrid w:val="0"/>
        <w:spacing w:before="50" w:after="50" w:line="360" w:lineRule="auto"/>
        <w:jc w:val="center"/>
        <w:rPr>
          <w:rFonts w:ascii="宋体" w:hAnsi="宋体" w:cs="宋体"/>
          <w:color w:val="auto"/>
          <w:sz w:val="24"/>
          <w:highlight w:val="none"/>
        </w:rPr>
      </w:pPr>
      <w:r>
        <w:rPr>
          <w:rFonts w:hint="eastAsia" w:ascii="宋体" w:hAnsi="宋体" w:cs="宋体"/>
          <w:b/>
          <w:color w:val="auto"/>
          <w:sz w:val="24"/>
          <w:highlight w:val="none"/>
        </w:rPr>
        <w:t xml:space="preserve">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C、</w:t>
      </w:r>
      <w:r>
        <w:rPr>
          <w:rFonts w:hint="eastAsia" w:ascii="宋体" w:hAnsi="宋体" w:cs="宋体"/>
          <w:color w:val="auto"/>
          <w:sz w:val="24"/>
          <w:highlight w:val="none"/>
        </w:rPr>
        <w:t>要求合同分包的，提供分包意向协议（附件6）和中小企业声明函（附件</w:t>
      </w:r>
      <w:r>
        <w:rPr>
          <w:rFonts w:ascii="宋体" w:hAnsi="宋体" w:cs="宋体"/>
          <w:color w:val="auto"/>
          <w:sz w:val="24"/>
          <w:highlight w:val="none"/>
        </w:rPr>
        <w:t>7</w:t>
      </w:r>
      <w:r>
        <w:rPr>
          <w:rFonts w:hint="eastAsia" w:ascii="宋体" w:hAnsi="宋体" w:cs="宋体"/>
          <w:color w:val="auto"/>
          <w:sz w:val="24"/>
          <w:highlight w:val="none"/>
        </w:rPr>
        <w:t>），分包意向协议中中小企业合同金额应当达到竞争性磋商公告载明的比例；如果供应商本身提供所有标的均由中小企业承建，</w:t>
      </w:r>
      <w:r>
        <w:rPr>
          <w:rFonts w:hint="eastAsia" w:ascii="宋体" w:hAnsi="宋体" w:cs="宋体"/>
          <w:color w:val="auto"/>
          <w:spacing w:val="8"/>
          <w:kern w:val="0"/>
          <w:sz w:val="24"/>
          <w:highlight w:val="none"/>
        </w:rPr>
        <w:t>并相应达到了前述比例要求，</w:t>
      </w:r>
      <w:r>
        <w:rPr>
          <w:rFonts w:hint="eastAsia" w:ascii="宋体" w:hAnsi="宋体" w:cs="宋体"/>
          <w:color w:val="auto"/>
          <w:sz w:val="24"/>
          <w:highlight w:val="none"/>
        </w:rPr>
        <w:t>视同符合了资格条件，无需再向中小企业分包，无需提供分包意向协议。</w:t>
      </w:r>
    </w:p>
    <w:p>
      <w:pPr>
        <w:widowControl/>
        <w:spacing w:line="360" w:lineRule="auto"/>
        <w:ind w:left="150"/>
        <w:jc w:val="center"/>
        <w:rPr>
          <w:rFonts w:ascii="宋体" w:hAnsi="宋体" w:cs="宋体"/>
          <w:b/>
          <w:color w:val="auto"/>
          <w:kern w:val="0"/>
          <w:sz w:val="32"/>
          <w:szCs w:val="32"/>
          <w:highlight w:val="none"/>
        </w:rPr>
      </w:pPr>
    </w:p>
    <w:p>
      <w:pPr>
        <w:widowControl/>
        <w:spacing w:line="360" w:lineRule="auto"/>
        <w:ind w:left="15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四、本项目的特定资格要求</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（根据竞争性磋商公告本项目的特定资格要求提供相应的材料；未要求的，无需提供）</w:t>
      </w:r>
    </w:p>
    <w:p>
      <w:pPr>
        <w:rPr>
          <w:rFonts w:ascii="宋体" w:hAnsi="宋体" w:cs="宋体"/>
          <w:color w:val="auto"/>
          <w:highlight w:val="none"/>
        </w:rPr>
      </w:pPr>
    </w:p>
    <w:p>
      <w:pPr>
        <w:snapToGrid w:val="0"/>
        <w:spacing w:line="360" w:lineRule="auto"/>
        <w:ind w:right="480"/>
        <w:jc w:val="center"/>
        <w:rPr>
          <w:rFonts w:ascii="宋体" w:hAnsi="宋体" w:cs="宋体"/>
          <w:b/>
          <w:color w:val="auto"/>
          <w:kern w:val="0"/>
          <w:sz w:val="32"/>
          <w:szCs w:val="32"/>
          <w:highlight w:val="none"/>
        </w:rPr>
        <w:sectPr>
          <w:pgSz w:w="11906" w:h="16838"/>
          <w:pgMar w:top="1440" w:right="1080" w:bottom="1440" w:left="1080" w:header="851" w:footer="992" w:gutter="0"/>
          <w:cols w:space="720" w:num="1"/>
          <w:titlePg/>
          <w:docGrid w:linePitch="312" w:charSpace="0"/>
        </w:sectPr>
      </w:pPr>
    </w:p>
    <w:p>
      <w:pPr>
        <w:pStyle w:val="3"/>
        <w:rPr>
          <w:rFonts w:ascii="宋体" w:hAnsi="宋体" w:cs="宋体"/>
          <w:b w:val="0"/>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商务技术文件部分</w:t>
      </w:r>
    </w:p>
    <w:p>
      <w:pPr>
        <w:spacing w:line="360" w:lineRule="auto"/>
        <w:jc w:val="center"/>
        <w:outlineLvl w:val="0"/>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目录</w:t>
      </w:r>
    </w:p>
    <w:p>
      <w:pPr>
        <w:numPr>
          <w:ilvl w:val="255"/>
          <w:numId w:val="0"/>
        </w:num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1）</w:t>
      </w:r>
      <w:r>
        <w:rPr>
          <w:rFonts w:hint="eastAsia" w:ascii="宋体" w:hAnsi="宋体" w:cs="宋体"/>
          <w:color w:val="auto"/>
          <w:sz w:val="24"/>
          <w:highlight w:val="none"/>
        </w:rPr>
        <w:t>响应函……………………………………………………………………………（页码）</w:t>
      </w:r>
    </w:p>
    <w:p>
      <w:pPr>
        <w:numPr>
          <w:ilvl w:val="255"/>
          <w:numId w:val="0"/>
        </w:num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2）授权委托书或法定代表人（单位负责人、自然人本人）身份证明</w:t>
      </w:r>
      <w:r>
        <w:rPr>
          <w:rFonts w:hint="eastAsia" w:ascii="宋体" w:hAnsi="宋体" w:cs="宋体"/>
          <w:color w:val="auto"/>
          <w:sz w:val="24"/>
          <w:highlight w:val="none"/>
        </w:rPr>
        <w:t>……………（页码）</w:t>
      </w:r>
    </w:p>
    <w:p>
      <w:pPr>
        <w:snapToGrid w:val="0"/>
        <w:spacing w:line="360" w:lineRule="auto"/>
        <w:ind w:left="479" w:leftChars="228"/>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）分包意向协议………………………………………………………………………（页码）</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）符合性审查资料……………………………………………………………………（页码）</w:t>
      </w:r>
    </w:p>
    <w:p>
      <w:pPr>
        <w:snapToGrid w:val="0"/>
        <w:spacing w:line="360" w:lineRule="auto"/>
        <w:ind w:left="479" w:leftChars="228"/>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5</w:t>
      </w:r>
      <w:r>
        <w:rPr>
          <w:rFonts w:hint="eastAsia" w:ascii="宋体" w:hAnsi="宋体" w:cs="宋体"/>
          <w:color w:val="auto"/>
          <w:sz w:val="24"/>
          <w:highlight w:val="none"/>
        </w:rPr>
        <w:t>）评审标准相应的商务技术资料……………………………………………………（页码）（</w:t>
      </w:r>
      <w:r>
        <w:rPr>
          <w:rFonts w:ascii="宋体" w:hAnsi="宋体" w:cs="宋体"/>
          <w:color w:val="auto"/>
          <w:sz w:val="24"/>
          <w:highlight w:val="none"/>
        </w:rPr>
        <w:t>6</w:t>
      </w:r>
      <w:r>
        <w:rPr>
          <w:rFonts w:hint="eastAsia" w:ascii="宋体" w:hAnsi="宋体" w:cs="宋体"/>
          <w:color w:val="auto"/>
          <w:sz w:val="24"/>
          <w:highlight w:val="none"/>
        </w:rPr>
        <w:t>）商务技术偏离表……………………………………………………………………（页码）</w:t>
      </w:r>
    </w:p>
    <w:p>
      <w:pPr>
        <w:snapToGrid w:val="0"/>
        <w:spacing w:line="360" w:lineRule="auto"/>
        <w:ind w:left="479" w:leftChars="228"/>
        <w:rPr>
          <w:rFonts w:ascii="宋体" w:hAnsi="宋体" w:cs="宋体"/>
          <w:b/>
          <w:color w:val="auto"/>
          <w:kern w:val="0"/>
          <w:sz w:val="24"/>
          <w:szCs w:val="32"/>
          <w:highlight w:val="none"/>
          <w:lang w:val="zh-CN"/>
        </w:rPr>
        <w:sectPr>
          <w:pgSz w:w="11906" w:h="16838"/>
          <w:pgMar w:top="1440" w:right="1080" w:bottom="1440" w:left="1080" w:header="851" w:footer="992" w:gutter="0"/>
          <w:cols w:space="720" w:num="1"/>
          <w:titlePg/>
          <w:docGrid w:linePitch="312" w:charSpace="0"/>
        </w:sectPr>
      </w:pPr>
      <w:r>
        <w:rPr>
          <w:rFonts w:hint="eastAsia" w:ascii="宋体" w:hAnsi="宋体" w:cs="宋体"/>
          <w:color w:val="auto"/>
          <w:sz w:val="24"/>
          <w:highlight w:val="none"/>
          <w:lang w:val="zh-CN"/>
        </w:rPr>
        <w:t>（</w:t>
      </w:r>
      <w:r>
        <w:rPr>
          <w:rFonts w:ascii="宋体" w:hAnsi="宋体" w:cs="宋体"/>
          <w:color w:val="auto"/>
          <w:sz w:val="24"/>
          <w:highlight w:val="none"/>
        </w:rPr>
        <w:t>7</w:t>
      </w:r>
      <w:r>
        <w:rPr>
          <w:rFonts w:hint="eastAsia" w:ascii="宋体" w:hAnsi="宋体" w:cs="宋体"/>
          <w:color w:val="auto"/>
          <w:sz w:val="24"/>
          <w:highlight w:val="none"/>
          <w:lang w:val="zh-CN"/>
        </w:rPr>
        <w:t>）政府采购供应商廉洁自律承诺书</w:t>
      </w:r>
      <w:r>
        <w:rPr>
          <w:rFonts w:hint="eastAsia" w:ascii="宋体" w:hAnsi="宋体" w:cs="宋体"/>
          <w:color w:val="auto"/>
          <w:sz w:val="24"/>
          <w:highlight w:val="none"/>
        </w:rPr>
        <w:t>…………………………………………………（页码）</w:t>
      </w:r>
      <w:r>
        <w:rPr>
          <w:rFonts w:hint="eastAsia" w:ascii="宋体" w:hAnsi="宋体" w:cs="宋体"/>
          <w:color w:val="auto"/>
          <w:sz w:val="24"/>
          <w:highlight w:val="none"/>
          <w:lang w:val="zh-CN"/>
        </w:rPr>
        <w:t>（</w:t>
      </w:r>
      <w:r>
        <w:rPr>
          <w:rFonts w:hint="eastAsia" w:ascii="宋体" w:hAnsi="宋体" w:cs="宋体"/>
          <w:color w:val="auto"/>
          <w:sz w:val="24"/>
          <w:highlight w:val="none"/>
        </w:rPr>
        <w:t>8</w:t>
      </w:r>
      <w:r>
        <w:rPr>
          <w:rFonts w:hint="eastAsia" w:ascii="宋体" w:hAnsi="宋体" w:cs="宋体"/>
          <w:color w:val="auto"/>
          <w:sz w:val="24"/>
          <w:highlight w:val="none"/>
          <w:lang w:val="zh-CN"/>
        </w:rPr>
        <w:t>）承诺</w:t>
      </w:r>
      <w:r>
        <w:rPr>
          <w:rFonts w:hint="eastAsia" w:ascii="宋体" w:hAnsi="宋体" w:cs="宋体"/>
          <w:color w:val="auto"/>
          <w:sz w:val="24"/>
          <w:highlight w:val="none"/>
        </w:rPr>
        <w:t>书………………………………………………………………………………（页码）</w:t>
      </w:r>
    </w:p>
    <w:p>
      <w:pPr>
        <w:snapToGrid w:val="0"/>
        <w:jc w:val="center"/>
        <w:rPr>
          <w:rFonts w:ascii="宋体" w:hAnsi="宋体" w:cs="宋体"/>
          <w:b/>
          <w:bCs/>
          <w:color w:val="auto"/>
          <w:sz w:val="32"/>
          <w:szCs w:val="32"/>
          <w:highlight w:val="none"/>
          <w:lang w:val="zh-CN"/>
        </w:rPr>
      </w:pPr>
      <w:r>
        <w:rPr>
          <w:rFonts w:hint="eastAsia" w:ascii="宋体" w:hAnsi="宋体" w:cs="宋体"/>
          <w:b/>
          <w:bCs/>
          <w:color w:val="auto"/>
          <w:sz w:val="32"/>
          <w:szCs w:val="32"/>
          <w:highlight w:val="none"/>
          <w:lang w:val="zh-CN"/>
        </w:rPr>
        <w:t>一、响应函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（采购人）、（采购代理机构）：</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我方参加你方组织的（项目名称）【项目编号：（采购编号）】采购的有关活动，并对此项目提交响应文件及报价。为此：</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1、我方承诺响应文件有效期从提交响应文件的截止之日起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天（不少于90天）</w:t>
      </w:r>
      <w:r>
        <w:rPr>
          <w:rFonts w:hint="eastAsia" w:ascii="宋体" w:hAnsi="宋体" w:cs="宋体"/>
          <w:color w:val="auto"/>
          <w:highlight w:val="none"/>
        </w:rPr>
        <w:t>，</w:t>
      </w:r>
      <w:r>
        <w:rPr>
          <w:rFonts w:hint="eastAsia" w:ascii="宋体" w:hAnsi="宋体" w:cs="宋体"/>
          <w:color w:val="auto"/>
          <w:sz w:val="24"/>
          <w:highlight w:val="none"/>
        </w:rPr>
        <w:t>本响应文件在响应文件有效期满之前均具有约束力。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2、我方的响应文件包括以下内容：</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2.1资格文件：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2.1.1承诺函；</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2.1.2</w:t>
      </w:r>
      <w:r>
        <w:rPr>
          <w:rFonts w:hint="eastAsia" w:ascii="宋体" w:hAnsi="宋体" w:cs="宋体"/>
          <w:snapToGrid w:val="0"/>
          <w:color w:val="auto"/>
          <w:kern w:val="28"/>
          <w:sz w:val="24"/>
          <w:szCs w:val="20"/>
          <w:highlight w:val="none"/>
        </w:rPr>
        <w:t>联合协议（如果有)；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.1.3</w:t>
      </w:r>
      <w:r>
        <w:rPr>
          <w:rFonts w:hint="eastAsia" w:ascii="宋体" w:hAnsi="宋体" w:cs="宋体"/>
          <w:color w:val="auto"/>
          <w:sz w:val="24"/>
          <w:highlight w:val="none"/>
        </w:rPr>
        <w:t>落实政府采购政策需满足的资格要求（如果有）；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ascii="宋体" w:hAnsi="宋体" w:cs="宋体"/>
          <w:color w:val="auto"/>
          <w:sz w:val="24"/>
          <w:highlight w:val="none"/>
        </w:rPr>
        <w:t>4</w:t>
      </w:r>
      <w:r>
        <w:rPr>
          <w:rFonts w:hint="eastAsia" w:ascii="宋体" w:hAnsi="宋体" w:cs="宋体"/>
          <w:color w:val="auto"/>
          <w:sz w:val="24"/>
          <w:highlight w:val="none"/>
        </w:rPr>
        <w:t>本项目的特定资格要求（如果有）。</w:t>
      </w:r>
    </w:p>
    <w:p>
      <w:pPr>
        <w:snapToGrid w:val="0"/>
        <w:spacing w:line="360" w:lineRule="auto"/>
        <w:ind w:left="210" w:leftChars="1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2.2.1响应函；</w:t>
      </w:r>
      <w:r>
        <w:rPr>
          <w:rFonts w:hint="eastAsia" w:ascii="宋体" w:hAnsi="宋体" w:cs="宋体"/>
          <w:color w:val="auto"/>
          <w:sz w:val="24"/>
          <w:highlight w:val="none"/>
          <w:lang w:val="zh-CN"/>
        </w:rPr>
        <w:t xml:space="preserve"> </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2.2.2授权委托书或法定代表人（单位负责人）身份证明；</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3</w:t>
      </w:r>
      <w:r>
        <w:rPr>
          <w:rFonts w:hint="eastAsia" w:ascii="宋体" w:hAnsi="宋体" w:cs="宋体"/>
          <w:color w:val="auto"/>
          <w:sz w:val="24"/>
          <w:highlight w:val="none"/>
        </w:rPr>
        <w:t>分包意向协议（如果有）；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5</w:t>
      </w:r>
      <w:r>
        <w:rPr>
          <w:rFonts w:hint="eastAsia" w:ascii="宋体" w:hAnsi="宋体" w:cs="宋体"/>
          <w:color w:val="auto"/>
          <w:sz w:val="24"/>
          <w:highlight w:val="none"/>
        </w:rPr>
        <w:t>评审标准相应的商务技术资料；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2.2.6商务技术偏离表；</w:t>
      </w:r>
    </w:p>
    <w:p>
      <w:pPr>
        <w:snapToGrid w:val="0"/>
        <w:spacing w:line="360" w:lineRule="auto"/>
        <w:ind w:left="420" w:leftChars="2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7</w:t>
      </w:r>
      <w:r>
        <w:rPr>
          <w:rFonts w:hint="eastAsia" w:ascii="宋体" w:hAnsi="宋体" w:cs="宋体"/>
          <w:color w:val="auto"/>
          <w:sz w:val="24"/>
          <w:highlight w:val="none"/>
          <w:lang w:val="zh-CN"/>
        </w:rPr>
        <w:t>政府采购供应商廉洁自律承诺书；</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3报价文件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2.3.1报价单；</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2.3.2已标价工程量清单；</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2.3.3中小企业声明函（如果有）。</w:t>
      </w:r>
    </w:p>
    <w:p>
      <w:pPr>
        <w:pStyle w:val="80"/>
        <w:ind w:firstLine="480"/>
        <w:rPr>
          <w:rFonts w:ascii="宋体" w:hAnsi="宋体" w:eastAsia="宋体" w:cs="宋体"/>
          <w:color w:val="auto"/>
          <w:sz w:val="24"/>
          <w:highlight w:val="none"/>
        </w:rPr>
      </w:pPr>
      <w:r>
        <w:rPr>
          <w:rFonts w:hint="eastAsia" w:ascii="宋体" w:hAnsi="宋体" w:eastAsia="宋体" w:cs="宋体"/>
          <w:color w:val="auto"/>
          <w:sz w:val="24"/>
          <w:highlight w:val="none"/>
        </w:rPr>
        <w:t>3、我方承诺除商务技术偏离表列出的偏离外，我方响应采购文件的全部要求。</w:t>
      </w:r>
      <w:r>
        <w:rPr>
          <w:rFonts w:hint="eastAsia" w:ascii="宋体" w:hAnsi="宋体" w:eastAsia="宋体" w:cs="宋体"/>
          <w:color w:val="auto"/>
          <w:sz w:val="24"/>
          <w:highlight w:val="none"/>
        </w:rPr>
        <w:t>对</w:t>
      </w:r>
      <w:r>
        <w:rPr>
          <w:rFonts w:hint="eastAsia" w:ascii="宋体" w:hAnsi="宋体" w:eastAsia="宋体" w:cs="宋体"/>
          <w:color w:val="auto"/>
          <w:sz w:val="24"/>
          <w:highlight w:val="none"/>
          <w:lang w:val="en-US"/>
        </w:rPr>
        <w:t>响应</w:t>
      </w:r>
      <w:r>
        <w:rPr>
          <w:rFonts w:hint="eastAsia" w:ascii="宋体" w:hAnsi="宋体" w:eastAsia="宋体" w:cs="宋体"/>
          <w:color w:val="auto"/>
          <w:sz w:val="24"/>
          <w:highlight w:val="none"/>
        </w:rPr>
        <w:t>文件中材料的真实性、合法性负责。</w:t>
      </w:r>
    </w:p>
    <w:p>
      <w:pPr>
        <w:snapToGrid w:val="0"/>
        <w:spacing w:line="360" w:lineRule="auto"/>
        <w:ind w:firstLine="480" w:firstLineChars="200"/>
        <w:rPr>
          <w:rFonts w:ascii="宋体" w:hAnsi="宋体" w:cs="宋体"/>
          <w:color w:val="auto"/>
          <w:sz w:val="24"/>
          <w:highlight w:val="none"/>
        </w:rPr>
      </w:pP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4、如我方成交，我方承诺：</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4.1在收到成交通知书后，在成交通知书规定的期限内与你方签订合同；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4.2在签订合同时不向你方提出附加条件；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4.3按照采购文件要求提交履约保证金；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4.4在合同约定的期限内完成合同规定的全部义务。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5、其他补充说明:</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360" w:lineRule="auto"/>
        <w:ind w:firstLine="3600" w:firstLineChars="1500"/>
        <w:rPr>
          <w:rFonts w:ascii="宋体" w:hAnsi="宋体" w:cs="宋体"/>
          <w:color w:val="auto"/>
          <w:sz w:val="24"/>
          <w:highlight w:val="none"/>
        </w:rPr>
      </w:pPr>
      <w:r>
        <w:rPr>
          <w:rFonts w:hint="eastAsia" w:ascii="宋体" w:hAnsi="宋体" w:cs="宋体"/>
          <w:color w:val="auto"/>
          <w:sz w:val="24"/>
          <w:highlight w:val="none"/>
        </w:rPr>
        <w:t xml:space="preserve">供应商名称（电子签名）：                          </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snapToGrid w:val="0"/>
        <w:spacing w:line="360" w:lineRule="auto"/>
        <w:ind w:left="420" w:leftChars="200" w:firstLine="4200" w:firstLineChars="1750"/>
        <w:rPr>
          <w:rFonts w:ascii="宋体" w:hAnsi="宋体" w:cs="宋体"/>
          <w:color w:val="auto"/>
          <w:kern w:val="0"/>
          <w:sz w:val="24"/>
          <w:highlight w:val="none"/>
          <w:u w:val="singl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napToGrid w:val="0"/>
        <w:spacing w:line="360" w:lineRule="auto"/>
        <w:jc w:val="center"/>
        <w:rPr>
          <w:rFonts w:ascii="宋体" w:hAnsi="宋体" w:cs="宋体"/>
          <w:b/>
          <w:color w:val="auto"/>
          <w:kern w:val="0"/>
          <w:sz w:val="32"/>
          <w:szCs w:val="32"/>
          <w:highlight w:val="none"/>
        </w:rPr>
      </w:pPr>
    </w:p>
    <w:p>
      <w:pPr>
        <w:snapToGrid w:val="0"/>
        <w:spacing w:line="360" w:lineRule="auto"/>
        <w:rPr>
          <w:rFonts w:ascii="宋体" w:hAnsi="宋体" w:cs="宋体"/>
          <w:color w:val="auto"/>
          <w:sz w:val="24"/>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sectPr>
          <w:pgSz w:w="11906" w:h="16838"/>
          <w:pgMar w:top="1440" w:right="1080" w:bottom="1440" w:left="1080" w:header="851" w:footer="992" w:gutter="0"/>
          <w:cols w:space="720" w:num="1"/>
          <w:titlePg/>
          <w:docGrid w:linePitch="312" w:charSpace="0"/>
        </w:sectPr>
      </w:pPr>
    </w:p>
    <w:p>
      <w:pPr>
        <w:snapToGrid w:val="0"/>
        <w:jc w:val="center"/>
        <w:rPr>
          <w:rFonts w:ascii="宋体" w:hAnsi="宋体" w:cs="宋体"/>
          <w:b/>
          <w:bCs/>
          <w:color w:val="auto"/>
          <w:sz w:val="32"/>
          <w:szCs w:val="32"/>
          <w:highlight w:val="none"/>
          <w:lang w:val="zh-CN"/>
        </w:rPr>
      </w:pPr>
      <w:r>
        <w:rPr>
          <w:rFonts w:hint="eastAsia" w:ascii="宋体" w:hAnsi="宋体" w:cs="宋体"/>
          <w:b/>
          <w:bCs/>
          <w:color w:val="auto"/>
          <w:sz w:val="32"/>
          <w:szCs w:val="32"/>
          <w:highlight w:val="none"/>
          <w:lang w:val="zh-CN"/>
        </w:rPr>
        <w:t>二、授权委托书或法定代表人（单位负责人、自然人本人）身份证明</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p>
    <w:p>
      <w:pPr>
        <w:snapToGrid w:val="0"/>
        <w:jc w:val="center"/>
        <w:rPr>
          <w:rFonts w:ascii="宋体" w:hAnsi="宋体" w:cs="宋体"/>
          <w:b/>
          <w:bCs/>
          <w:color w:val="auto"/>
          <w:sz w:val="32"/>
          <w:szCs w:val="32"/>
          <w:highlight w:val="none"/>
          <w:lang w:val="zh-CN"/>
        </w:rPr>
      </w:pPr>
      <w:r>
        <w:rPr>
          <w:rFonts w:hint="eastAsia" w:ascii="宋体" w:hAnsi="宋体" w:cs="宋体"/>
          <w:b/>
          <w:bCs/>
          <w:color w:val="auto"/>
          <w:sz w:val="32"/>
          <w:szCs w:val="32"/>
          <w:highlight w:val="none"/>
          <w:lang w:val="zh-CN"/>
        </w:rPr>
        <w:t>授权委托书（适用于非联合体</w:t>
      </w:r>
      <w:r>
        <w:rPr>
          <w:rFonts w:hint="eastAsia" w:ascii="宋体" w:hAnsi="宋体" w:cs="宋体"/>
          <w:b/>
          <w:bCs/>
          <w:color w:val="auto"/>
          <w:sz w:val="32"/>
          <w:szCs w:val="32"/>
          <w:highlight w:val="none"/>
        </w:rPr>
        <w:t>响应</w:t>
      </w:r>
      <w:r>
        <w:rPr>
          <w:rFonts w:hint="eastAsia" w:ascii="宋体" w:hAnsi="宋体" w:cs="宋体"/>
          <w:b/>
          <w:bCs/>
          <w:color w:val="auto"/>
          <w:sz w:val="32"/>
          <w:szCs w:val="32"/>
          <w:highlight w:val="none"/>
          <w:lang w:val="zh-CN"/>
        </w:rPr>
        <w:t>）</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（采购人）、（采购代理机构）</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rPr>
        <w:t>，</w:t>
      </w:r>
      <w:r>
        <w:rPr>
          <w:rFonts w:hint="eastAsia" w:ascii="宋体" w:hAnsi="宋体" w:cs="宋体"/>
          <w:color w:val="auto"/>
          <w:kern w:val="0"/>
          <w:sz w:val="24"/>
          <w:highlight w:val="none"/>
        </w:rPr>
        <w:t>所在单位：</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rPr>
        <w:t>（项目名称）【项目编号：（采购编号）】</w:t>
      </w:r>
      <w:r>
        <w:rPr>
          <w:rFonts w:hint="eastAsia" w:ascii="宋体" w:hAnsi="宋体" w:cs="宋体"/>
          <w:color w:val="auto"/>
          <w:kern w:val="0"/>
          <w:sz w:val="24"/>
          <w:highlight w:val="none"/>
          <w:lang w:val="zh-CN"/>
        </w:rPr>
        <w:t>政府采购</w:t>
      </w:r>
      <w:r>
        <w:rPr>
          <w:rFonts w:hint="eastAsia" w:ascii="宋体" w:hAnsi="宋体" w:cs="宋体"/>
          <w:color w:val="auto"/>
          <w:kern w:val="0"/>
          <w:sz w:val="24"/>
          <w:highlight w:val="none"/>
        </w:rPr>
        <w:t>响应</w:t>
      </w:r>
      <w:r>
        <w:rPr>
          <w:rFonts w:hint="eastAsia" w:ascii="宋体" w:hAnsi="宋体" w:cs="宋体"/>
          <w:color w:val="auto"/>
          <w:kern w:val="0"/>
          <w:sz w:val="24"/>
          <w:highlight w:val="none"/>
          <w:lang w:val="zh-CN"/>
        </w:rPr>
        <w:t>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供应商名称(电子签名)：</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签发日期：  年  月   日</w:t>
      </w:r>
    </w:p>
    <w:p>
      <w:pPr>
        <w:snapToGrid w:val="0"/>
        <w:spacing w:line="360" w:lineRule="auto"/>
        <w:rPr>
          <w:rFonts w:ascii="宋体" w:hAnsi="宋体" w:cs="宋体"/>
          <w:color w:val="auto"/>
          <w:sz w:val="24"/>
          <w:highlight w:val="none"/>
        </w:rPr>
      </w:pPr>
    </w:p>
    <w:p>
      <w:pPr>
        <w:snapToGrid w:val="0"/>
        <w:spacing w:line="360" w:lineRule="auto"/>
        <w:rPr>
          <w:rFonts w:ascii="宋体" w:hAnsi="宋体" w:cs="宋体"/>
          <w:color w:val="auto"/>
          <w:sz w:val="24"/>
          <w:highlight w:val="none"/>
        </w:rPr>
      </w:pPr>
    </w:p>
    <w:p>
      <w:pPr>
        <w:snapToGrid w:val="0"/>
        <w:spacing w:line="360" w:lineRule="auto"/>
        <w:rPr>
          <w:rFonts w:ascii="宋体" w:hAnsi="宋体" w:cs="宋体"/>
          <w:color w:val="auto"/>
          <w:sz w:val="24"/>
          <w:highlight w:val="none"/>
        </w:rPr>
      </w:pPr>
    </w:p>
    <w:p>
      <w:pPr>
        <w:snapToGrid w:val="0"/>
        <w:jc w:val="center"/>
        <w:rPr>
          <w:rFonts w:ascii="宋体" w:hAnsi="宋体" w:cs="宋体"/>
          <w:b/>
          <w:bCs/>
          <w:color w:val="auto"/>
          <w:sz w:val="32"/>
          <w:szCs w:val="32"/>
          <w:highlight w:val="none"/>
          <w:lang w:val="zh-CN"/>
        </w:rPr>
      </w:pPr>
      <w:r>
        <w:rPr>
          <w:rFonts w:hint="eastAsia" w:ascii="宋体" w:hAnsi="宋体" w:cs="宋体"/>
          <w:b/>
          <w:bCs/>
          <w:color w:val="auto"/>
          <w:sz w:val="32"/>
          <w:szCs w:val="32"/>
          <w:highlight w:val="none"/>
          <w:lang w:val="zh-CN"/>
        </w:rPr>
        <w:t>授权委托书（适用于联合体</w:t>
      </w:r>
      <w:r>
        <w:rPr>
          <w:rFonts w:hint="eastAsia" w:ascii="宋体" w:hAnsi="宋体" w:cs="宋体"/>
          <w:b/>
          <w:bCs/>
          <w:color w:val="auto"/>
          <w:sz w:val="32"/>
          <w:szCs w:val="32"/>
          <w:highlight w:val="none"/>
        </w:rPr>
        <w:t>响应</w:t>
      </w:r>
      <w:r>
        <w:rPr>
          <w:rFonts w:hint="eastAsia" w:ascii="宋体" w:hAnsi="宋体" w:cs="宋体"/>
          <w:b/>
          <w:bCs/>
          <w:color w:val="auto"/>
          <w:sz w:val="32"/>
          <w:szCs w:val="32"/>
          <w:highlight w:val="none"/>
          <w:lang w:val="zh-CN"/>
        </w:rPr>
        <w:t>）</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（采购人）、（采购代理机构）</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rPr>
        <w:t>，</w:t>
      </w:r>
      <w:r>
        <w:rPr>
          <w:rFonts w:hint="eastAsia" w:ascii="宋体" w:hAnsi="宋体" w:cs="宋体"/>
          <w:color w:val="auto"/>
          <w:kern w:val="0"/>
          <w:sz w:val="24"/>
          <w:highlight w:val="none"/>
        </w:rPr>
        <w:t>所在单位：</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rPr>
        <w:t>（项目名称）【项目编号：（采购编号）】</w:t>
      </w:r>
      <w:r>
        <w:rPr>
          <w:rFonts w:hint="eastAsia" w:ascii="宋体" w:hAnsi="宋体" w:cs="宋体"/>
          <w:color w:val="auto"/>
          <w:kern w:val="0"/>
          <w:sz w:val="24"/>
          <w:highlight w:val="none"/>
          <w:lang w:val="zh-CN"/>
        </w:rPr>
        <w:t>政府采购</w:t>
      </w:r>
      <w:r>
        <w:rPr>
          <w:rFonts w:hint="eastAsia" w:ascii="宋体" w:hAnsi="宋体" w:cs="宋体"/>
          <w:color w:val="auto"/>
          <w:kern w:val="0"/>
          <w:sz w:val="24"/>
          <w:highlight w:val="none"/>
        </w:rPr>
        <w:t>响应</w:t>
      </w:r>
      <w:r>
        <w:rPr>
          <w:rFonts w:hint="eastAsia" w:ascii="宋体" w:hAnsi="宋体" w:cs="宋体"/>
          <w:color w:val="auto"/>
          <w:kern w:val="0"/>
          <w:sz w:val="24"/>
          <w:highlight w:val="none"/>
          <w:lang w:val="zh-CN"/>
        </w:rPr>
        <w:t>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rPr>
          <w:rFonts w:ascii="宋体" w:hAnsi="宋体" w:cs="宋体"/>
          <w:color w:val="auto"/>
          <w:highlight w:val="none"/>
        </w:rPr>
      </w:pP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snapToGrid w:val="0"/>
        <w:jc w:val="center"/>
        <w:rPr>
          <w:rFonts w:ascii="宋体" w:hAnsi="宋体" w:cs="宋体"/>
          <w:b/>
          <w:bCs/>
          <w:color w:val="auto"/>
          <w:sz w:val="32"/>
          <w:szCs w:val="32"/>
          <w:highlight w:val="none"/>
          <w:lang w:val="zh-CN"/>
        </w:rPr>
      </w:pPr>
    </w:p>
    <w:p>
      <w:pPr>
        <w:snapToGrid w:val="0"/>
        <w:jc w:val="center"/>
        <w:rPr>
          <w:rFonts w:ascii="宋体" w:hAnsi="宋体" w:cs="宋体"/>
          <w:b/>
          <w:bCs/>
          <w:color w:val="auto"/>
          <w:sz w:val="32"/>
          <w:szCs w:val="32"/>
          <w:highlight w:val="none"/>
          <w:lang w:val="zh-CN"/>
        </w:rPr>
      </w:pPr>
    </w:p>
    <w:p>
      <w:pPr>
        <w:snapToGrid w:val="0"/>
        <w:jc w:val="center"/>
        <w:rPr>
          <w:rFonts w:ascii="宋体" w:hAnsi="宋体" w:cs="宋体"/>
          <w:b/>
          <w:bCs/>
          <w:color w:val="auto"/>
          <w:sz w:val="32"/>
          <w:szCs w:val="32"/>
          <w:highlight w:val="none"/>
        </w:rPr>
      </w:pPr>
      <w:r>
        <w:rPr>
          <w:rFonts w:hint="eastAsia" w:ascii="宋体" w:hAnsi="宋体" w:cs="宋体"/>
          <w:b/>
          <w:bCs/>
          <w:color w:val="auto"/>
          <w:sz w:val="32"/>
          <w:szCs w:val="32"/>
          <w:highlight w:val="none"/>
          <w:lang w:val="zh-CN"/>
        </w:rPr>
        <w:t>法定代表人、单位负责人或自然人本人</w:t>
      </w:r>
      <w:r>
        <w:rPr>
          <w:rFonts w:hint="eastAsia" w:ascii="宋体" w:hAnsi="宋体" w:cs="宋体"/>
          <w:b/>
          <w:bCs/>
          <w:color w:val="auto"/>
          <w:sz w:val="32"/>
          <w:szCs w:val="32"/>
          <w:highlight w:val="none"/>
        </w:rPr>
        <w:t>的身份证明（适用于法定代表人、单位负责人或者自然人本人代表供应商参加响应）</w:t>
      </w:r>
    </w:p>
    <w:p>
      <w:pPr>
        <w:pStyle w:val="149"/>
        <w:spacing w:line="360" w:lineRule="auto"/>
        <w:rPr>
          <w:rFonts w:hAnsi="宋体" w:cs="宋体"/>
          <w:bCs/>
          <w:color w:val="auto"/>
          <w:sz w:val="24"/>
          <w:highlight w:val="none"/>
        </w:rPr>
      </w:pPr>
      <w:r>
        <w:rPr>
          <w:rFonts w:hint="eastAsia" w:hAnsi="宋体" w:cs="宋体"/>
          <w:bCs/>
          <w:color w:val="auto"/>
          <w:sz w:val="24"/>
          <w:highlight w:val="none"/>
        </w:rPr>
        <w:t>身份证件扫描件：</w:t>
      </w:r>
    </w:p>
    <w:tbl>
      <w:tblPr>
        <w:tblStyle w:val="63"/>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9"/>
              <w:adjustRightInd w:val="0"/>
              <w:spacing w:line="360" w:lineRule="auto"/>
              <w:rPr>
                <w:rFonts w:hAnsi="宋体" w:cs="宋体"/>
                <w:bCs/>
                <w:color w:val="auto"/>
                <w:sz w:val="24"/>
                <w:highlight w:val="none"/>
              </w:rPr>
            </w:pPr>
            <w:r>
              <w:rPr>
                <w:rFonts w:hint="eastAsia" w:hAnsi="宋体" w:cs="宋体"/>
                <w:bCs/>
                <w:color w:val="auto"/>
                <w:sz w:val="24"/>
                <w:highlight w:val="none"/>
              </w:rPr>
              <w:t>正面：                                 反面：</w:t>
            </w:r>
          </w:p>
          <w:p>
            <w:pPr>
              <w:pStyle w:val="149"/>
              <w:adjustRightInd w:val="0"/>
              <w:spacing w:line="360" w:lineRule="auto"/>
              <w:rPr>
                <w:rFonts w:hAnsi="宋体" w:cs="宋体"/>
                <w:bCs/>
                <w:color w:val="auto"/>
                <w:sz w:val="24"/>
                <w:highlight w:val="none"/>
              </w:rPr>
            </w:pPr>
          </w:p>
        </w:tc>
      </w:tr>
    </w:tbl>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供应商名称(电子签名)：                              </w:t>
      </w:r>
    </w:p>
    <w:p>
      <w:pPr>
        <w:spacing w:line="360"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snapToGrid w:val="0"/>
        <w:spacing w:line="360" w:lineRule="auto"/>
        <w:ind w:right="480"/>
        <w:rPr>
          <w:rFonts w:ascii="宋体" w:hAnsi="宋体" w:cs="宋体"/>
          <w:b/>
          <w:color w:val="auto"/>
          <w:kern w:val="0"/>
          <w:sz w:val="32"/>
          <w:szCs w:val="32"/>
          <w:highlight w:val="none"/>
        </w:rPr>
        <w:sectPr>
          <w:pgSz w:w="11906" w:h="16838"/>
          <w:pgMar w:top="1440" w:right="1080" w:bottom="1440" w:left="1080" w:header="851" w:footer="992" w:gutter="0"/>
          <w:cols w:space="720" w:num="1"/>
          <w:titlePg/>
          <w:docGrid w:linePitch="312" w:charSpace="0"/>
        </w:sectPr>
      </w:pPr>
    </w:p>
    <w:p>
      <w:pPr>
        <w:snapToGrid w:val="0"/>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三、分包意向协议</w:t>
      </w:r>
    </w:p>
    <w:p>
      <w:pPr>
        <w:widowControl/>
        <w:spacing w:line="360" w:lineRule="auto"/>
        <w:ind w:firstLine="120" w:firstLineChars="50"/>
        <w:jc w:val="left"/>
        <w:rPr>
          <w:rFonts w:ascii="宋体" w:hAnsi="宋体" w:cs="宋体"/>
          <w:color w:val="auto"/>
          <w:sz w:val="24"/>
          <w:highlight w:val="none"/>
        </w:rPr>
      </w:pPr>
      <w:bookmarkStart w:id="439" w:name="_Hlk101169080"/>
      <w:r>
        <w:rPr>
          <w:rFonts w:hint="eastAsia" w:ascii="宋体" w:hAnsi="宋体" w:cs="宋体"/>
          <w:color w:val="auto"/>
          <w:sz w:val="24"/>
          <w:highlight w:val="none"/>
        </w:rPr>
        <w:t>[</w:t>
      </w:r>
      <w:r>
        <w:rPr>
          <w:rFonts w:hint="eastAsia" w:ascii="宋体" w:hAnsi="宋体" w:cs="宋体"/>
          <w:b/>
          <w:color w:val="auto"/>
          <w:sz w:val="24"/>
          <w:highlight w:val="none"/>
        </w:rPr>
        <w:t>成交后以分包方式履行合同的，提供分包意向协议(附件6</w:t>
      </w:r>
      <w:r>
        <w:rPr>
          <w:rFonts w:ascii="宋体" w:hAnsi="宋体" w:cs="宋体"/>
          <w:b/>
          <w:color w:val="auto"/>
          <w:sz w:val="24"/>
          <w:highlight w:val="none"/>
        </w:rPr>
        <w:t>)</w:t>
      </w:r>
      <w:r>
        <w:rPr>
          <w:rFonts w:hint="eastAsia" w:ascii="宋体" w:hAnsi="宋体" w:cs="宋体"/>
          <w:b/>
          <w:color w:val="auto"/>
          <w:sz w:val="24"/>
          <w:highlight w:val="none"/>
        </w:rPr>
        <w:t>；采购人不同意分包或者供应商成交后不以分包方式履行合同的，则不需要提供。</w:t>
      </w:r>
      <w:r>
        <w:rPr>
          <w:rFonts w:hint="eastAsia" w:ascii="宋体" w:hAnsi="宋体" w:cs="宋体"/>
          <w:color w:val="auto"/>
          <w:sz w:val="24"/>
          <w:highlight w:val="none"/>
        </w:rPr>
        <w:t>]</w:t>
      </w:r>
    </w:p>
    <w:bookmarkEnd w:id="439"/>
    <w:p>
      <w:pPr>
        <w:snapToGrid w:val="0"/>
        <w:spacing w:line="360" w:lineRule="auto"/>
        <w:rPr>
          <w:rFonts w:ascii="宋体" w:hAnsi="宋体" w:cs="宋体"/>
          <w:color w:val="auto"/>
          <w:kern w:val="0"/>
          <w:sz w:val="24"/>
          <w:highlight w:val="none"/>
        </w:rPr>
      </w:pPr>
    </w:p>
    <w:p>
      <w:pPr>
        <w:snapToGrid w:val="0"/>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四、符合性审查资料</w:t>
      </w:r>
    </w:p>
    <w:p>
      <w:pPr>
        <w:jc w:val="center"/>
        <w:rPr>
          <w:rFonts w:ascii="宋体" w:hAnsi="宋体" w:cs="宋体"/>
          <w:b/>
          <w:color w:val="auto"/>
          <w:kern w:val="0"/>
          <w:sz w:val="32"/>
          <w:szCs w:val="32"/>
          <w:highlight w:val="none"/>
        </w:rPr>
      </w:pPr>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499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实质性要求</w:t>
            </w:r>
          </w:p>
        </w:tc>
        <w:tc>
          <w:tcPr>
            <w:tcW w:w="255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需要提供的符合性审查资料</w:t>
            </w:r>
          </w:p>
        </w:tc>
        <w:tc>
          <w:tcPr>
            <w:tcW w:w="1418"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响应文件中的</w:t>
            </w:r>
          </w:p>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宋体" w:hAnsi="宋体" w:cs="宋体"/>
                <w:color w:val="auto"/>
                <w:sz w:val="24"/>
                <w:highlight w:val="none"/>
              </w:rPr>
            </w:pPr>
            <w:r>
              <w:rPr>
                <w:rFonts w:hint="eastAsia" w:ascii="宋体" w:hAnsi="宋体" w:cs="宋体"/>
                <w:color w:val="auto"/>
                <w:sz w:val="24"/>
                <w:highlight w:val="none"/>
              </w:rPr>
              <w:t>1</w:t>
            </w:r>
          </w:p>
        </w:tc>
        <w:tc>
          <w:tcPr>
            <w:tcW w:w="4991"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响应文件按照采购文件要求签署、盖章。</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需要使用电子签名或者签字盖章的响应文件的组成部分</w:t>
            </w:r>
          </w:p>
        </w:tc>
        <w:tc>
          <w:tcPr>
            <w:tcW w:w="1418" w:type="dxa"/>
            <w:vAlign w:val="center"/>
          </w:tcPr>
          <w:p>
            <w:pPr>
              <w:rPr>
                <w:rFonts w:ascii="宋体" w:hAnsi="宋体" w:cs="宋体"/>
                <w:color w:val="auto"/>
                <w:sz w:val="24"/>
                <w:highlight w:val="none"/>
              </w:rPr>
            </w:pPr>
            <w:r>
              <w:rPr>
                <w:rFonts w:hint="eastAsia" w:ascii="宋体" w:hAnsi="宋体" w:cs="宋体"/>
                <w:color w:val="auto"/>
                <w:sz w:val="24"/>
                <w:highlight w:val="none"/>
              </w:rPr>
              <w:t>见响应文件</w:t>
            </w:r>
          </w:p>
          <w:p>
            <w:pPr>
              <w:rPr>
                <w:rFonts w:ascii="宋体" w:hAnsi="宋体" w:cs="宋体"/>
                <w:color w:val="auto"/>
                <w:highlight w:val="none"/>
              </w:rPr>
            </w:pPr>
            <w:r>
              <w:rPr>
                <w:rFonts w:hint="eastAsia" w:ascii="宋体" w:hAnsi="宋体" w:cs="宋体"/>
                <w:color w:val="auto"/>
                <w:sz w:val="24"/>
                <w:highlight w:val="none"/>
              </w:rPr>
              <w:t>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p>
        </w:tc>
        <w:tc>
          <w:tcPr>
            <w:tcW w:w="4991"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采购人拟采购的产品属于政府强制采购的节能产品品目清单范围的，供应商按采购文件要求提供国家确定的认证机构出具的、处于有效期之内的节能产品认证证书。</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节能产品认证证书（政府强制采购节能产品清单详见附表1）</w:t>
            </w:r>
          </w:p>
        </w:tc>
        <w:tc>
          <w:tcPr>
            <w:tcW w:w="1418" w:type="dxa"/>
            <w:vAlign w:val="center"/>
          </w:tcPr>
          <w:p>
            <w:pPr>
              <w:rPr>
                <w:rFonts w:ascii="宋体" w:hAnsi="宋体" w:cs="宋体"/>
                <w:color w:val="auto"/>
                <w:sz w:val="24"/>
                <w:highlight w:val="none"/>
              </w:rPr>
            </w:pPr>
            <w:r>
              <w:rPr>
                <w:rFonts w:hint="eastAsia" w:ascii="宋体" w:hAnsi="宋体" w:cs="宋体"/>
                <w:color w:val="auto"/>
                <w:sz w:val="24"/>
                <w:highlight w:val="none"/>
              </w:rPr>
              <w:t>见响应文件</w:t>
            </w:r>
          </w:p>
          <w:p>
            <w:pPr>
              <w:pStyle w:val="3"/>
              <w:jc w:val="both"/>
              <w:rPr>
                <w:rFonts w:ascii="宋体" w:hAnsi="宋体" w:eastAsia="宋体" w:cs="宋体"/>
                <w:color w:val="auto"/>
                <w:highlight w:val="none"/>
                <w:lang w:val="en-US"/>
              </w:rPr>
            </w:pPr>
            <w:r>
              <w:rPr>
                <w:rFonts w:hint="eastAsia" w:ascii="宋体" w:hAnsi="宋体" w:eastAsia="宋体" w:cs="宋体"/>
                <w:b w:val="0"/>
                <w:bCs w:val="0"/>
                <w:color w:val="auto"/>
                <w:sz w:val="24"/>
                <w:szCs w:val="24"/>
                <w:highlight w:val="none"/>
                <w:lang w:val="en-US"/>
              </w:rPr>
              <w:t>第</w:t>
            </w:r>
            <w:r>
              <w:rPr>
                <w:rFonts w:hint="eastAsia" w:ascii="宋体" w:hAnsi="宋体" w:eastAsia="宋体" w:cs="宋体"/>
                <w:b w:val="0"/>
                <w:bCs w:val="0"/>
                <w:color w:val="auto"/>
                <w:sz w:val="24"/>
                <w:szCs w:val="24"/>
                <w:highlight w:val="none"/>
                <w:u w:val="single"/>
                <w:lang w:val="en-US"/>
              </w:rPr>
              <w:t xml:space="preserve">  </w:t>
            </w:r>
            <w:r>
              <w:rPr>
                <w:rFonts w:hint="eastAsia" w:ascii="宋体" w:hAnsi="宋体" w:eastAsia="宋体" w:cs="宋体"/>
                <w:b w:val="0"/>
                <w:bCs w:val="0"/>
                <w:color w:val="auto"/>
                <w:sz w:val="24"/>
                <w:szCs w:val="24"/>
                <w:highlight w:val="none"/>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宋体" w:hAnsi="宋体" w:cs="宋体"/>
                <w:color w:val="auto"/>
                <w:sz w:val="24"/>
                <w:highlight w:val="none"/>
              </w:rPr>
            </w:pPr>
            <w:r>
              <w:rPr>
                <w:rFonts w:hint="eastAsia" w:ascii="宋体" w:hAnsi="宋体" w:cs="宋体"/>
                <w:color w:val="auto"/>
                <w:sz w:val="24"/>
                <w:highlight w:val="none"/>
              </w:rPr>
              <w:t>3</w:t>
            </w:r>
          </w:p>
        </w:tc>
        <w:tc>
          <w:tcPr>
            <w:tcW w:w="4991"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响应文件中承诺的响应文件有效期不少于采购文件中载明的响应文件有效期。</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响应函</w:t>
            </w:r>
          </w:p>
        </w:tc>
        <w:tc>
          <w:tcPr>
            <w:tcW w:w="1418" w:type="dxa"/>
            <w:vAlign w:val="center"/>
          </w:tcPr>
          <w:p>
            <w:pPr>
              <w:rPr>
                <w:rFonts w:ascii="宋体" w:hAnsi="宋体" w:cs="宋体"/>
                <w:color w:val="auto"/>
                <w:highlight w:val="none"/>
              </w:rPr>
            </w:pPr>
            <w:r>
              <w:rPr>
                <w:rFonts w:hint="eastAsia" w:ascii="宋体" w:hAnsi="宋体" w:cs="宋体"/>
                <w:color w:val="auto"/>
                <w:sz w:val="24"/>
                <w:highlight w:val="none"/>
              </w:rPr>
              <w:t>见响应文件第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宋体" w:hAnsi="宋体" w:cs="宋体"/>
                <w:color w:val="auto"/>
                <w:sz w:val="24"/>
                <w:highlight w:val="none"/>
              </w:rPr>
            </w:pPr>
            <w:r>
              <w:rPr>
                <w:rFonts w:hint="eastAsia" w:ascii="宋体" w:hAnsi="宋体" w:cs="宋体"/>
                <w:color w:val="auto"/>
                <w:sz w:val="24"/>
                <w:highlight w:val="none"/>
              </w:rPr>
              <w:t>4</w:t>
            </w:r>
          </w:p>
        </w:tc>
        <w:tc>
          <w:tcPr>
            <w:tcW w:w="4991"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响应文件满足采购文件的其它实质性要求。</w:t>
            </w:r>
          </w:p>
        </w:tc>
        <w:tc>
          <w:tcPr>
            <w:tcW w:w="2551" w:type="dxa"/>
            <w:vAlign w:val="center"/>
          </w:tcPr>
          <w:p>
            <w:pPr>
              <w:rPr>
                <w:rFonts w:ascii="宋体" w:hAnsi="宋体" w:cs="宋体"/>
                <w:color w:val="auto"/>
                <w:sz w:val="24"/>
                <w:highlight w:val="none"/>
              </w:rPr>
            </w:pPr>
            <w:r>
              <w:rPr>
                <w:rFonts w:hint="eastAsia" w:ascii="宋体" w:hAnsi="宋体" w:cs="宋体"/>
                <w:color w:val="auto"/>
                <w:kern w:val="0"/>
                <w:sz w:val="24"/>
                <w:highlight w:val="none"/>
              </w:rPr>
              <w:t>采购文件其它实质性要求相应的材料（“▲” 系指实质性要求条款，采购文件无其它实质性要求的，无需提供）</w:t>
            </w:r>
          </w:p>
        </w:tc>
        <w:tc>
          <w:tcPr>
            <w:tcW w:w="1418" w:type="dxa"/>
            <w:vAlign w:val="center"/>
          </w:tcPr>
          <w:p>
            <w:pPr>
              <w:rPr>
                <w:rFonts w:ascii="宋体" w:hAnsi="宋体" w:cs="宋体"/>
                <w:color w:val="auto"/>
                <w:highlight w:val="none"/>
              </w:rPr>
            </w:pPr>
            <w:r>
              <w:rPr>
                <w:rFonts w:hint="eastAsia" w:ascii="宋体" w:hAnsi="宋体" w:cs="宋体"/>
                <w:color w:val="auto"/>
                <w:sz w:val="24"/>
                <w:highlight w:val="none"/>
              </w:rPr>
              <w:t>见响应文件第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bl>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rPr>
          <w:rFonts w:ascii="宋体" w:hAnsi="宋体" w:cs="宋体"/>
          <w:color w:val="auto"/>
          <w:sz w:val="24"/>
          <w:highlight w:val="none"/>
        </w:rPr>
      </w:pPr>
      <w:r>
        <w:rPr>
          <w:rFonts w:hint="eastAsia" w:ascii="宋体" w:hAnsi="宋体" w:cs="宋体"/>
          <w:color w:val="auto"/>
          <w:sz w:val="24"/>
          <w:highlight w:val="none"/>
        </w:rPr>
        <w:br w:type="page"/>
      </w:r>
    </w:p>
    <w:p>
      <w:pPr>
        <w:rPr>
          <w:rFonts w:ascii="宋体" w:hAnsi="宋体" w:cs="宋体"/>
          <w:b/>
          <w:bCs/>
          <w:color w:val="auto"/>
          <w:sz w:val="32"/>
          <w:szCs w:val="32"/>
          <w:highlight w:val="none"/>
        </w:rPr>
      </w:pPr>
      <w:r>
        <w:rPr>
          <w:rFonts w:hint="eastAsia" w:ascii="宋体" w:hAnsi="宋体" w:cs="宋体"/>
          <w:b/>
          <w:bCs/>
          <w:color w:val="auto"/>
          <w:sz w:val="32"/>
          <w:szCs w:val="32"/>
          <w:highlight w:val="none"/>
        </w:rPr>
        <w:t>附表1</w:t>
      </w:r>
    </w:p>
    <w:tbl>
      <w:tblPr>
        <w:tblStyle w:val="63"/>
        <w:tblW w:w="9940" w:type="dxa"/>
        <w:jc w:val="center"/>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Layout w:type="fixed"/>
        <w:tblCellMar>
          <w:top w:w="0" w:type="dxa"/>
          <w:left w:w="108" w:type="dxa"/>
          <w:bottom w:w="0" w:type="dxa"/>
          <w:right w:w="108" w:type="dxa"/>
        </w:tblCellMar>
      </w:tblPr>
      <w:tblGrid>
        <w:gridCol w:w="690"/>
        <w:gridCol w:w="1933"/>
        <w:gridCol w:w="2334"/>
        <w:gridCol w:w="1682"/>
        <w:gridCol w:w="3301"/>
      </w:tblGrid>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tblHeader/>
          <w:jc w:val="center"/>
        </w:trPr>
        <w:tc>
          <w:tcPr>
            <w:tcW w:w="690" w:type="dxa"/>
            <w:shd w:val="clear" w:color="auto" w:fill="DAEEF3"/>
            <w:vAlign w:val="center"/>
          </w:tcPr>
          <w:p>
            <w:pPr>
              <w:jc w:val="center"/>
              <w:rPr>
                <w:rFonts w:ascii="宋体" w:hAnsi="宋体"/>
                <w:b/>
                <w:color w:val="auto"/>
                <w:w w:val="90"/>
                <w:szCs w:val="21"/>
                <w:highlight w:val="none"/>
              </w:rPr>
            </w:pPr>
            <w:r>
              <w:rPr>
                <w:rFonts w:hint="eastAsia" w:ascii="宋体" w:hAnsi="宋体"/>
                <w:b/>
                <w:color w:val="auto"/>
                <w:w w:val="90"/>
                <w:szCs w:val="21"/>
                <w:highlight w:val="none"/>
              </w:rPr>
              <w:t>品目序号</w:t>
            </w:r>
          </w:p>
        </w:tc>
        <w:tc>
          <w:tcPr>
            <w:tcW w:w="5949" w:type="dxa"/>
            <w:gridSpan w:val="3"/>
            <w:shd w:val="clear" w:color="auto" w:fill="DAEEF3"/>
            <w:vAlign w:val="center"/>
          </w:tcPr>
          <w:p>
            <w:pPr>
              <w:jc w:val="center"/>
              <w:rPr>
                <w:rFonts w:ascii="宋体" w:hAnsi="宋体"/>
                <w:b/>
                <w:color w:val="auto"/>
                <w:w w:val="90"/>
                <w:szCs w:val="21"/>
                <w:highlight w:val="none"/>
              </w:rPr>
            </w:pPr>
            <w:r>
              <w:rPr>
                <w:rFonts w:hint="eastAsia" w:ascii="宋体" w:hAnsi="宋体"/>
                <w:b/>
                <w:color w:val="auto"/>
                <w:w w:val="90"/>
                <w:szCs w:val="21"/>
                <w:highlight w:val="none"/>
              </w:rPr>
              <w:t>名称（</w:t>
            </w:r>
            <w:r>
              <w:rPr>
                <w:rFonts w:ascii="宋体" w:hAnsi="宋体"/>
                <w:b/>
                <w:color w:val="auto"/>
                <w:w w:val="90"/>
                <w:szCs w:val="22"/>
                <w:highlight w:val="none"/>
              </w:rPr>
              <w:t>以“</w:t>
            </w:r>
            <w:r>
              <w:rPr>
                <w:rFonts w:hint="eastAsia" w:ascii="宋体" w:hAnsi="宋体" w:cs="宋体"/>
                <w:b/>
                <w:color w:val="auto"/>
                <w:w w:val="90"/>
                <w:szCs w:val="22"/>
                <w:highlight w:val="none"/>
              </w:rPr>
              <w:t>★</w:t>
            </w:r>
            <w:r>
              <w:rPr>
                <w:rFonts w:ascii="宋体" w:hAnsi="宋体" w:cs="Calibri"/>
                <w:b/>
                <w:color w:val="auto"/>
                <w:w w:val="90"/>
                <w:szCs w:val="22"/>
                <w:highlight w:val="none"/>
              </w:rPr>
              <w:t>”</w:t>
            </w:r>
            <w:r>
              <w:rPr>
                <w:rFonts w:ascii="宋体" w:hAnsi="宋体"/>
                <w:b/>
                <w:color w:val="auto"/>
                <w:w w:val="90"/>
                <w:szCs w:val="22"/>
                <w:highlight w:val="none"/>
              </w:rPr>
              <w:t>标注的为政府强制采购产品</w:t>
            </w:r>
            <w:r>
              <w:rPr>
                <w:rFonts w:hint="eastAsia" w:ascii="宋体" w:hAnsi="宋体"/>
                <w:b/>
                <w:color w:val="auto"/>
                <w:w w:val="90"/>
                <w:szCs w:val="22"/>
                <w:highlight w:val="none"/>
              </w:rPr>
              <w:t>）</w:t>
            </w:r>
          </w:p>
        </w:tc>
        <w:tc>
          <w:tcPr>
            <w:tcW w:w="3301" w:type="dxa"/>
            <w:shd w:val="clear" w:color="auto" w:fill="DAEEF3"/>
            <w:vAlign w:val="center"/>
          </w:tcPr>
          <w:p>
            <w:pPr>
              <w:jc w:val="center"/>
              <w:rPr>
                <w:rFonts w:ascii="宋体" w:hAnsi="宋体"/>
                <w:b/>
                <w:color w:val="auto"/>
                <w:w w:val="90"/>
                <w:szCs w:val="21"/>
                <w:highlight w:val="none"/>
              </w:rPr>
            </w:pPr>
            <w:r>
              <w:rPr>
                <w:rFonts w:hint="eastAsia" w:ascii="宋体" w:hAnsi="宋体"/>
                <w:b/>
                <w:color w:val="auto"/>
                <w:w w:val="90"/>
                <w:szCs w:val="21"/>
                <w:highlight w:val="none"/>
              </w:rPr>
              <w:t>依据的标准</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restart"/>
            <w:vAlign w:val="center"/>
          </w:tcPr>
          <w:p>
            <w:pPr>
              <w:jc w:val="center"/>
              <w:rPr>
                <w:rFonts w:ascii="宋体" w:hAnsi="宋体"/>
                <w:color w:val="auto"/>
                <w:w w:val="90"/>
                <w:szCs w:val="21"/>
                <w:highlight w:val="none"/>
              </w:rPr>
            </w:pPr>
            <w:r>
              <w:rPr>
                <w:rFonts w:ascii="宋体" w:hAnsi="宋体"/>
                <w:color w:val="auto"/>
                <w:w w:val="90"/>
                <w:szCs w:val="21"/>
                <w:highlight w:val="none"/>
              </w:rPr>
              <w:t>1</w:t>
            </w:r>
          </w:p>
        </w:tc>
        <w:tc>
          <w:tcPr>
            <w:tcW w:w="1933" w:type="dxa"/>
            <w:vMerge w:val="restart"/>
            <w:vAlign w:val="center"/>
          </w:tcPr>
          <w:p>
            <w:pPr>
              <w:jc w:val="left"/>
              <w:rPr>
                <w:rFonts w:ascii="宋体" w:hAnsi="宋体"/>
                <w:color w:val="auto"/>
                <w:w w:val="90"/>
                <w:szCs w:val="21"/>
                <w:highlight w:val="none"/>
              </w:rPr>
            </w:pPr>
            <w:r>
              <w:rPr>
                <w:rFonts w:ascii="宋体" w:hAnsi="宋体"/>
                <w:color w:val="auto"/>
                <w:w w:val="90"/>
                <w:szCs w:val="21"/>
                <w:highlight w:val="none"/>
              </w:rPr>
              <w:t>A020101计算机设备</w:t>
            </w:r>
          </w:p>
        </w:tc>
        <w:tc>
          <w:tcPr>
            <w:tcW w:w="2334" w:type="dxa"/>
            <w:vAlign w:val="center"/>
          </w:tcPr>
          <w:p>
            <w:pPr>
              <w:jc w:val="left"/>
              <w:rPr>
                <w:rFonts w:ascii="宋体" w:hAnsi="宋体"/>
                <w:b/>
                <w:color w:val="auto"/>
                <w:w w:val="90"/>
                <w:szCs w:val="21"/>
                <w:highlight w:val="none"/>
              </w:rPr>
            </w:pPr>
            <w:r>
              <w:rPr>
                <w:rFonts w:hint="eastAsia" w:ascii="宋体" w:hAnsi="宋体" w:cs="宋体"/>
                <w:color w:val="auto"/>
                <w:w w:val="90"/>
                <w:szCs w:val="21"/>
                <w:highlight w:val="none"/>
              </w:rPr>
              <w:t>★</w:t>
            </w:r>
            <w:r>
              <w:rPr>
                <w:rFonts w:ascii="宋体" w:hAnsi="宋体" w:cs="Calibri"/>
                <w:b/>
                <w:color w:val="auto"/>
                <w:w w:val="90"/>
                <w:szCs w:val="21"/>
                <w:highlight w:val="none"/>
              </w:rPr>
              <w:t>A02010104</w:t>
            </w:r>
            <w:r>
              <w:rPr>
                <w:rFonts w:ascii="宋体" w:hAnsi="宋体"/>
                <w:b/>
                <w:color w:val="auto"/>
                <w:w w:val="90"/>
                <w:szCs w:val="21"/>
                <w:highlight w:val="none"/>
              </w:rPr>
              <w:t>台式计算机</w:t>
            </w:r>
          </w:p>
        </w:tc>
        <w:tc>
          <w:tcPr>
            <w:tcW w:w="1682" w:type="dxa"/>
            <w:vAlign w:val="center"/>
          </w:tcPr>
          <w:p>
            <w:pPr>
              <w:jc w:val="center"/>
              <w:rPr>
                <w:rFonts w:ascii="宋体" w:hAnsi="宋体"/>
                <w:color w:val="auto"/>
                <w:w w:val="90"/>
                <w:szCs w:val="21"/>
                <w:highlight w:val="none"/>
              </w:rPr>
            </w:pPr>
          </w:p>
        </w:tc>
        <w:tc>
          <w:tcPr>
            <w:tcW w:w="3301" w:type="dxa"/>
            <w:vAlign w:val="center"/>
          </w:tcPr>
          <w:p>
            <w:pPr>
              <w:jc w:val="left"/>
              <w:rPr>
                <w:rFonts w:ascii="宋体" w:hAnsi="宋体"/>
                <w:color w:val="auto"/>
                <w:w w:val="90"/>
                <w:szCs w:val="21"/>
                <w:highlight w:val="none"/>
              </w:rPr>
            </w:pPr>
            <w:r>
              <w:rPr>
                <w:rFonts w:ascii="宋体" w:hAnsi="宋体"/>
                <w:color w:val="auto"/>
                <w:w w:val="90"/>
                <w:szCs w:val="21"/>
                <w:highlight w:val="none"/>
              </w:rPr>
              <w:t>《微型计算机能效限定值及能效等级》（GB 28380）</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rFonts w:ascii="宋体" w:hAnsi="宋体"/>
                <w:color w:val="auto"/>
                <w:w w:val="90"/>
                <w:szCs w:val="21"/>
                <w:highlight w:val="none"/>
              </w:rPr>
            </w:pPr>
          </w:p>
        </w:tc>
        <w:tc>
          <w:tcPr>
            <w:tcW w:w="1933" w:type="dxa"/>
            <w:vMerge w:val="continue"/>
            <w:vAlign w:val="center"/>
          </w:tcPr>
          <w:p>
            <w:pPr>
              <w:jc w:val="left"/>
              <w:rPr>
                <w:rFonts w:ascii="宋体" w:hAnsi="宋体"/>
                <w:color w:val="auto"/>
                <w:w w:val="90"/>
                <w:szCs w:val="21"/>
                <w:highlight w:val="none"/>
              </w:rPr>
            </w:pPr>
          </w:p>
        </w:tc>
        <w:tc>
          <w:tcPr>
            <w:tcW w:w="2334" w:type="dxa"/>
            <w:vAlign w:val="center"/>
          </w:tcPr>
          <w:p>
            <w:pPr>
              <w:jc w:val="left"/>
              <w:rPr>
                <w:rFonts w:ascii="宋体" w:hAnsi="宋体"/>
                <w:b/>
                <w:color w:val="auto"/>
                <w:w w:val="90"/>
                <w:szCs w:val="21"/>
                <w:highlight w:val="none"/>
              </w:rPr>
            </w:pPr>
            <w:r>
              <w:rPr>
                <w:rFonts w:hint="eastAsia" w:ascii="宋体" w:hAnsi="宋体" w:cs="宋体"/>
                <w:color w:val="auto"/>
                <w:w w:val="90"/>
                <w:szCs w:val="21"/>
                <w:highlight w:val="none"/>
              </w:rPr>
              <w:t>★</w:t>
            </w:r>
            <w:r>
              <w:rPr>
                <w:rFonts w:ascii="宋体" w:hAnsi="宋体" w:cs="Calibri"/>
                <w:b/>
                <w:color w:val="auto"/>
                <w:w w:val="90"/>
                <w:szCs w:val="21"/>
                <w:highlight w:val="none"/>
              </w:rPr>
              <w:t>A02010105</w:t>
            </w:r>
            <w:r>
              <w:rPr>
                <w:rFonts w:ascii="宋体" w:hAnsi="宋体"/>
                <w:b/>
                <w:color w:val="auto"/>
                <w:w w:val="90"/>
                <w:szCs w:val="21"/>
                <w:highlight w:val="none"/>
              </w:rPr>
              <w:t>便携式计算</w:t>
            </w:r>
          </w:p>
        </w:tc>
        <w:tc>
          <w:tcPr>
            <w:tcW w:w="1682" w:type="dxa"/>
            <w:vAlign w:val="center"/>
          </w:tcPr>
          <w:p>
            <w:pPr>
              <w:jc w:val="center"/>
              <w:rPr>
                <w:rFonts w:ascii="宋体" w:hAnsi="宋体"/>
                <w:color w:val="auto"/>
                <w:w w:val="90"/>
                <w:szCs w:val="21"/>
                <w:highlight w:val="none"/>
              </w:rPr>
            </w:pPr>
          </w:p>
        </w:tc>
        <w:tc>
          <w:tcPr>
            <w:tcW w:w="3301" w:type="dxa"/>
            <w:vAlign w:val="center"/>
          </w:tcPr>
          <w:p>
            <w:pPr>
              <w:jc w:val="left"/>
              <w:rPr>
                <w:rFonts w:ascii="宋体" w:hAnsi="宋体"/>
                <w:color w:val="auto"/>
                <w:w w:val="90"/>
                <w:szCs w:val="21"/>
                <w:highlight w:val="none"/>
              </w:rPr>
            </w:pPr>
            <w:r>
              <w:rPr>
                <w:rFonts w:ascii="宋体" w:hAnsi="宋体"/>
                <w:color w:val="auto"/>
                <w:w w:val="90"/>
                <w:szCs w:val="21"/>
                <w:highlight w:val="none"/>
              </w:rPr>
              <w:t>《微型计算机能效限定值及能效等级》（GB 28380）</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rFonts w:ascii="宋体" w:hAnsi="宋体"/>
                <w:color w:val="auto"/>
                <w:w w:val="90"/>
                <w:szCs w:val="21"/>
                <w:highlight w:val="none"/>
              </w:rPr>
            </w:pPr>
          </w:p>
        </w:tc>
        <w:tc>
          <w:tcPr>
            <w:tcW w:w="1933" w:type="dxa"/>
            <w:vMerge w:val="continue"/>
            <w:vAlign w:val="center"/>
          </w:tcPr>
          <w:p>
            <w:pPr>
              <w:jc w:val="left"/>
              <w:rPr>
                <w:rFonts w:ascii="宋体" w:hAnsi="宋体"/>
                <w:color w:val="auto"/>
                <w:w w:val="90"/>
                <w:szCs w:val="21"/>
                <w:highlight w:val="none"/>
              </w:rPr>
            </w:pPr>
          </w:p>
        </w:tc>
        <w:tc>
          <w:tcPr>
            <w:tcW w:w="2334" w:type="dxa"/>
            <w:vAlign w:val="center"/>
          </w:tcPr>
          <w:p>
            <w:pPr>
              <w:jc w:val="left"/>
              <w:rPr>
                <w:rFonts w:ascii="宋体" w:hAnsi="宋体"/>
                <w:b/>
                <w:color w:val="auto"/>
                <w:w w:val="90"/>
                <w:szCs w:val="21"/>
                <w:highlight w:val="none"/>
              </w:rPr>
            </w:pPr>
            <w:r>
              <w:rPr>
                <w:rFonts w:hint="eastAsia" w:ascii="宋体" w:hAnsi="宋体" w:cs="宋体"/>
                <w:color w:val="auto"/>
                <w:w w:val="90"/>
                <w:szCs w:val="21"/>
                <w:highlight w:val="none"/>
              </w:rPr>
              <w:t>★</w:t>
            </w:r>
            <w:r>
              <w:rPr>
                <w:rFonts w:ascii="宋体" w:hAnsi="宋体" w:cs="Calibri"/>
                <w:b/>
                <w:color w:val="auto"/>
                <w:w w:val="90"/>
                <w:szCs w:val="21"/>
                <w:highlight w:val="none"/>
              </w:rPr>
              <w:t>A02010107</w:t>
            </w:r>
            <w:r>
              <w:rPr>
                <w:rFonts w:ascii="宋体" w:hAnsi="宋体"/>
                <w:b/>
                <w:color w:val="auto"/>
                <w:w w:val="90"/>
                <w:szCs w:val="21"/>
                <w:highlight w:val="none"/>
              </w:rPr>
              <w:t>平板式微型计算机</w:t>
            </w:r>
          </w:p>
        </w:tc>
        <w:tc>
          <w:tcPr>
            <w:tcW w:w="1682" w:type="dxa"/>
            <w:vAlign w:val="center"/>
          </w:tcPr>
          <w:p>
            <w:pPr>
              <w:jc w:val="center"/>
              <w:rPr>
                <w:rFonts w:ascii="宋体" w:hAnsi="宋体"/>
                <w:color w:val="auto"/>
                <w:w w:val="90"/>
                <w:szCs w:val="21"/>
                <w:highlight w:val="none"/>
              </w:rPr>
            </w:pPr>
          </w:p>
        </w:tc>
        <w:tc>
          <w:tcPr>
            <w:tcW w:w="3301" w:type="dxa"/>
            <w:vAlign w:val="center"/>
          </w:tcPr>
          <w:p>
            <w:pPr>
              <w:jc w:val="left"/>
              <w:rPr>
                <w:rFonts w:ascii="宋体" w:hAnsi="宋体"/>
                <w:color w:val="auto"/>
                <w:w w:val="90"/>
                <w:szCs w:val="21"/>
                <w:highlight w:val="none"/>
              </w:rPr>
            </w:pPr>
            <w:r>
              <w:rPr>
                <w:rFonts w:ascii="宋体" w:hAnsi="宋体"/>
                <w:color w:val="auto"/>
                <w:w w:val="90"/>
                <w:szCs w:val="21"/>
                <w:highlight w:val="none"/>
              </w:rPr>
              <w:t>《微型计算机能效限定值及能效等级》（GB 28380）</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restart"/>
            <w:vAlign w:val="center"/>
          </w:tcPr>
          <w:p>
            <w:pPr>
              <w:jc w:val="center"/>
              <w:rPr>
                <w:rFonts w:ascii="宋体" w:hAnsi="宋体"/>
                <w:color w:val="auto"/>
                <w:w w:val="90"/>
                <w:szCs w:val="21"/>
                <w:highlight w:val="none"/>
              </w:rPr>
            </w:pPr>
            <w:r>
              <w:rPr>
                <w:rFonts w:ascii="宋体" w:hAnsi="宋体"/>
                <w:color w:val="auto"/>
                <w:w w:val="90"/>
                <w:szCs w:val="21"/>
                <w:highlight w:val="none"/>
              </w:rPr>
              <w:t>2</w:t>
            </w:r>
          </w:p>
        </w:tc>
        <w:tc>
          <w:tcPr>
            <w:tcW w:w="1933" w:type="dxa"/>
            <w:vMerge w:val="restart"/>
            <w:vAlign w:val="center"/>
          </w:tcPr>
          <w:p>
            <w:pPr>
              <w:jc w:val="left"/>
              <w:rPr>
                <w:rFonts w:ascii="宋体" w:hAnsi="宋体"/>
                <w:color w:val="auto"/>
                <w:w w:val="90"/>
                <w:szCs w:val="21"/>
                <w:highlight w:val="none"/>
              </w:rPr>
            </w:pPr>
            <w:r>
              <w:rPr>
                <w:rFonts w:ascii="宋体" w:hAnsi="宋体"/>
                <w:color w:val="auto"/>
                <w:w w:val="90"/>
                <w:szCs w:val="21"/>
                <w:highlight w:val="none"/>
              </w:rPr>
              <w:t>A020106输入输出设备</w:t>
            </w:r>
          </w:p>
        </w:tc>
        <w:tc>
          <w:tcPr>
            <w:tcW w:w="2334" w:type="dxa"/>
            <w:vMerge w:val="restart"/>
            <w:vAlign w:val="center"/>
          </w:tcPr>
          <w:p>
            <w:pPr>
              <w:jc w:val="left"/>
              <w:rPr>
                <w:rFonts w:ascii="宋体" w:hAnsi="宋体"/>
                <w:color w:val="auto"/>
                <w:w w:val="90"/>
                <w:szCs w:val="21"/>
                <w:highlight w:val="none"/>
              </w:rPr>
            </w:pPr>
            <w:r>
              <w:rPr>
                <w:rFonts w:ascii="宋体" w:hAnsi="宋体"/>
                <w:color w:val="auto"/>
                <w:w w:val="90"/>
                <w:szCs w:val="21"/>
                <w:highlight w:val="none"/>
              </w:rPr>
              <w:t>A02010601打印设备</w:t>
            </w:r>
          </w:p>
        </w:tc>
        <w:tc>
          <w:tcPr>
            <w:tcW w:w="1682" w:type="dxa"/>
            <w:vAlign w:val="center"/>
          </w:tcPr>
          <w:p>
            <w:pPr>
              <w:jc w:val="left"/>
              <w:rPr>
                <w:rFonts w:ascii="宋体" w:hAnsi="宋体"/>
                <w:b/>
                <w:color w:val="auto"/>
                <w:w w:val="90"/>
                <w:szCs w:val="21"/>
                <w:highlight w:val="none"/>
              </w:rPr>
            </w:pPr>
            <w:r>
              <w:rPr>
                <w:rFonts w:hint="eastAsia" w:ascii="宋体" w:hAnsi="宋体" w:cs="宋体"/>
                <w:color w:val="auto"/>
                <w:w w:val="90"/>
                <w:szCs w:val="21"/>
                <w:highlight w:val="none"/>
              </w:rPr>
              <w:t>★</w:t>
            </w:r>
            <w:r>
              <w:rPr>
                <w:rFonts w:ascii="宋体" w:hAnsi="宋体"/>
                <w:b/>
                <w:color w:val="auto"/>
                <w:w w:val="90"/>
                <w:szCs w:val="21"/>
                <w:highlight w:val="none"/>
              </w:rPr>
              <w:t>A0201060102激光打印机</w:t>
            </w:r>
          </w:p>
        </w:tc>
        <w:tc>
          <w:tcPr>
            <w:tcW w:w="3301" w:type="dxa"/>
            <w:vAlign w:val="center"/>
          </w:tcPr>
          <w:p>
            <w:pPr>
              <w:jc w:val="left"/>
              <w:rPr>
                <w:rFonts w:ascii="宋体" w:hAnsi="宋体"/>
                <w:color w:val="auto"/>
                <w:w w:val="90"/>
                <w:szCs w:val="21"/>
                <w:highlight w:val="none"/>
              </w:rPr>
            </w:pPr>
            <w:r>
              <w:rPr>
                <w:rFonts w:ascii="宋体" w:hAnsi="宋体"/>
                <w:color w:val="auto"/>
                <w:w w:val="90"/>
                <w:szCs w:val="21"/>
                <w:highlight w:val="none"/>
              </w:rPr>
              <w:t>《复印机、打印机和传真机能效限定值及能效等级》（GB 21521）</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691" w:hRule="atLeast"/>
          <w:jc w:val="center"/>
        </w:trPr>
        <w:tc>
          <w:tcPr>
            <w:tcW w:w="690" w:type="dxa"/>
            <w:vMerge w:val="continue"/>
            <w:vAlign w:val="center"/>
          </w:tcPr>
          <w:p>
            <w:pPr>
              <w:jc w:val="center"/>
              <w:rPr>
                <w:rFonts w:ascii="宋体" w:hAnsi="宋体"/>
                <w:color w:val="auto"/>
                <w:w w:val="90"/>
                <w:szCs w:val="21"/>
                <w:highlight w:val="none"/>
              </w:rPr>
            </w:pPr>
          </w:p>
        </w:tc>
        <w:tc>
          <w:tcPr>
            <w:tcW w:w="1933" w:type="dxa"/>
            <w:vMerge w:val="continue"/>
            <w:vAlign w:val="center"/>
          </w:tcPr>
          <w:p>
            <w:pPr>
              <w:jc w:val="left"/>
              <w:rPr>
                <w:rFonts w:ascii="宋体" w:hAnsi="宋体"/>
                <w:color w:val="auto"/>
                <w:w w:val="90"/>
                <w:szCs w:val="21"/>
                <w:highlight w:val="none"/>
              </w:rPr>
            </w:pPr>
          </w:p>
        </w:tc>
        <w:tc>
          <w:tcPr>
            <w:tcW w:w="2334" w:type="dxa"/>
            <w:vMerge w:val="continue"/>
            <w:vAlign w:val="center"/>
          </w:tcPr>
          <w:p>
            <w:pPr>
              <w:jc w:val="left"/>
              <w:rPr>
                <w:rFonts w:ascii="宋体" w:hAnsi="宋体"/>
                <w:color w:val="auto"/>
                <w:w w:val="90"/>
                <w:szCs w:val="21"/>
                <w:highlight w:val="none"/>
              </w:rPr>
            </w:pPr>
          </w:p>
        </w:tc>
        <w:tc>
          <w:tcPr>
            <w:tcW w:w="1682" w:type="dxa"/>
            <w:vAlign w:val="center"/>
          </w:tcPr>
          <w:p>
            <w:pPr>
              <w:jc w:val="left"/>
              <w:rPr>
                <w:rFonts w:ascii="宋体" w:hAnsi="宋体"/>
                <w:b/>
                <w:color w:val="auto"/>
                <w:w w:val="90"/>
                <w:szCs w:val="21"/>
                <w:highlight w:val="none"/>
              </w:rPr>
            </w:pPr>
            <w:r>
              <w:rPr>
                <w:rFonts w:hint="eastAsia" w:ascii="宋体" w:hAnsi="宋体" w:cs="宋体"/>
                <w:color w:val="auto"/>
                <w:w w:val="90"/>
                <w:szCs w:val="21"/>
                <w:highlight w:val="none"/>
              </w:rPr>
              <w:t>★</w:t>
            </w:r>
            <w:r>
              <w:rPr>
                <w:rFonts w:ascii="宋体" w:hAnsi="宋体"/>
                <w:b/>
                <w:color w:val="auto"/>
                <w:w w:val="90"/>
                <w:szCs w:val="21"/>
                <w:highlight w:val="none"/>
              </w:rPr>
              <w:t>A0201060104针式打印机</w:t>
            </w:r>
          </w:p>
        </w:tc>
        <w:tc>
          <w:tcPr>
            <w:tcW w:w="3301" w:type="dxa"/>
            <w:vAlign w:val="center"/>
          </w:tcPr>
          <w:p>
            <w:pPr>
              <w:jc w:val="left"/>
              <w:rPr>
                <w:rFonts w:ascii="宋体" w:hAnsi="宋体"/>
                <w:color w:val="auto"/>
                <w:w w:val="90"/>
                <w:szCs w:val="21"/>
                <w:highlight w:val="none"/>
              </w:rPr>
            </w:pPr>
            <w:r>
              <w:rPr>
                <w:rFonts w:ascii="宋体" w:hAnsi="宋体"/>
                <w:color w:val="auto"/>
                <w:w w:val="90"/>
                <w:szCs w:val="21"/>
                <w:highlight w:val="none"/>
              </w:rPr>
              <w:t>《复印机、打印机和传真机能效限定值及能效等级》（GB 21521）</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rFonts w:ascii="宋体" w:hAnsi="宋体"/>
                <w:color w:val="auto"/>
                <w:w w:val="90"/>
                <w:szCs w:val="21"/>
                <w:highlight w:val="none"/>
              </w:rPr>
            </w:pPr>
          </w:p>
        </w:tc>
        <w:tc>
          <w:tcPr>
            <w:tcW w:w="1933" w:type="dxa"/>
            <w:vMerge w:val="continue"/>
            <w:vAlign w:val="center"/>
          </w:tcPr>
          <w:p>
            <w:pPr>
              <w:jc w:val="left"/>
              <w:rPr>
                <w:rFonts w:ascii="宋体" w:hAnsi="宋体"/>
                <w:color w:val="auto"/>
                <w:w w:val="90"/>
                <w:szCs w:val="21"/>
                <w:highlight w:val="none"/>
              </w:rPr>
            </w:pPr>
          </w:p>
        </w:tc>
        <w:tc>
          <w:tcPr>
            <w:tcW w:w="2334" w:type="dxa"/>
            <w:vAlign w:val="center"/>
          </w:tcPr>
          <w:p>
            <w:pPr>
              <w:jc w:val="left"/>
              <w:rPr>
                <w:rFonts w:ascii="宋体" w:hAnsi="宋体"/>
                <w:color w:val="auto"/>
                <w:w w:val="90"/>
                <w:szCs w:val="21"/>
                <w:highlight w:val="none"/>
              </w:rPr>
            </w:pPr>
            <w:r>
              <w:rPr>
                <w:rFonts w:ascii="宋体" w:hAnsi="宋体"/>
                <w:color w:val="auto"/>
                <w:w w:val="90"/>
                <w:szCs w:val="21"/>
                <w:highlight w:val="none"/>
              </w:rPr>
              <w:t>A02010604显示设备</w:t>
            </w:r>
          </w:p>
        </w:tc>
        <w:tc>
          <w:tcPr>
            <w:tcW w:w="1682" w:type="dxa"/>
            <w:vAlign w:val="center"/>
          </w:tcPr>
          <w:p>
            <w:pPr>
              <w:jc w:val="left"/>
              <w:rPr>
                <w:rFonts w:ascii="宋体" w:hAnsi="宋体"/>
                <w:b/>
                <w:color w:val="auto"/>
                <w:w w:val="90"/>
                <w:szCs w:val="21"/>
                <w:highlight w:val="none"/>
              </w:rPr>
            </w:pPr>
            <w:r>
              <w:rPr>
                <w:rFonts w:hint="eastAsia" w:ascii="宋体" w:hAnsi="宋体" w:cs="宋体"/>
                <w:color w:val="auto"/>
                <w:w w:val="90"/>
                <w:szCs w:val="21"/>
                <w:highlight w:val="none"/>
              </w:rPr>
              <w:t>★</w:t>
            </w:r>
            <w:r>
              <w:rPr>
                <w:rFonts w:ascii="宋体" w:hAnsi="宋体"/>
                <w:b/>
                <w:color w:val="auto"/>
                <w:w w:val="90"/>
                <w:szCs w:val="21"/>
                <w:highlight w:val="none"/>
              </w:rPr>
              <w:t>A0201060401液晶显示器</w:t>
            </w:r>
          </w:p>
        </w:tc>
        <w:tc>
          <w:tcPr>
            <w:tcW w:w="3301" w:type="dxa"/>
            <w:vAlign w:val="center"/>
          </w:tcPr>
          <w:p>
            <w:pPr>
              <w:jc w:val="left"/>
              <w:rPr>
                <w:rFonts w:ascii="宋体" w:hAnsi="宋体"/>
                <w:color w:val="auto"/>
                <w:w w:val="90"/>
                <w:szCs w:val="21"/>
                <w:highlight w:val="none"/>
              </w:rPr>
            </w:pPr>
            <w:r>
              <w:rPr>
                <w:rFonts w:ascii="宋体" w:hAnsi="宋体"/>
                <w:color w:val="auto"/>
                <w:w w:val="90"/>
                <w:szCs w:val="21"/>
                <w:highlight w:val="none"/>
              </w:rPr>
              <w:t>《计算机显示器能效限定值及能效等级》（GB 21520）</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restart"/>
            <w:vAlign w:val="center"/>
          </w:tcPr>
          <w:p>
            <w:pPr>
              <w:jc w:val="center"/>
              <w:rPr>
                <w:rFonts w:ascii="宋体" w:hAnsi="宋体"/>
                <w:color w:val="auto"/>
                <w:w w:val="90"/>
                <w:szCs w:val="21"/>
                <w:highlight w:val="none"/>
              </w:rPr>
            </w:pPr>
            <w:r>
              <w:rPr>
                <w:rFonts w:hint="eastAsia" w:ascii="宋体" w:hAnsi="宋体"/>
                <w:color w:val="auto"/>
                <w:w w:val="90"/>
                <w:szCs w:val="21"/>
                <w:highlight w:val="none"/>
              </w:rPr>
              <w:t>3</w:t>
            </w:r>
          </w:p>
        </w:tc>
        <w:tc>
          <w:tcPr>
            <w:tcW w:w="1933" w:type="dxa"/>
            <w:vMerge w:val="restart"/>
            <w:vAlign w:val="center"/>
          </w:tcPr>
          <w:p>
            <w:pPr>
              <w:jc w:val="left"/>
              <w:rPr>
                <w:rFonts w:ascii="宋体" w:hAnsi="宋体"/>
                <w:color w:val="auto"/>
                <w:w w:val="90"/>
                <w:szCs w:val="21"/>
                <w:highlight w:val="none"/>
              </w:rPr>
            </w:pPr>
            <w:r>
              <w:rPr>
                <w:rFonts w:ascii="宋体" w:hAnsi="宋体"/>
                <w:color w:val="auto"/>
                <w:w w:val="90"/>
                <w:szCs w:val="21"/>
                <w:highlight w:val="none"/>
              </w:rPr>
              <w:t>A020523制冷空调设备</w:t>
            </w:r>
          </w:p>
        </w:tc>
        <w:tc>
          <w:tcPr>
            <w:tcW w:w="2334" w:type="dxa"/>
            <w:vMerge w:val="restart"/>
            <w:vAlign w:val="center"/>
          </w:tcPr>
          <w:p>
            <w:pPr>
              <w:jc w:val="left"/>
              <w:rPr>
                <w:rFonts w:ascii="宋体" w:hAnsi="宋体"/>
                <w:b/>
                <w:color w:val="auto"/>
                <w:w w:val="90"/>
                <w:szCs w:val="21"/>
                <w:highlight w:val="none"/>
              </w:rPr>
            </w:pPr>
            <w:r>
              <w:rPr>
                <w:rFonts w:hint="eastAsia" w:ascii="宋体" w:hAnsi="宋体" w:cs="宋体"/>
                <w:color w:val="auto"/>
                <w:w w:val="90"/>
                <w:szCs w:val="21"/>
                <w:highlight w:val="none"/>
              </w:rPr>
              <w:t>★</w:t>
            </w:r>
            <w:r>
              <w:rPr>
                <w:rFonts w:ascii="宋体" w:hAnsi="宋体" w:cs="Calibri"/>
                <w:b/>
                <w:color w:val="auto"/>
                <w:w w:val="90"/>
                <w:szCs w:val="21"/>
                <w:highlight w:val="none"/>
              </w:rPr>
              <w:t>A02052301</w:t>
            </w:r>
            <w:r>
              <w:rPr>
                <w:rFonts w:ascii="宋体" w:hAnsi="宋体"/>
                <w:b/>
                <w:color w:val="auto"/>
                <w:w w:val="90"/>
                <w:szCs w:val="21"/>
                <w:highlight w:val="none"/>
              </w:rPr>
              <w:t>制冷压缩机</w:t>
            </w:r>
          </w:p>
        </w:tc>
        <w:tc>
          <w:tcPr>
            <w:tcW w:w="1682" w:type="dxa"/>
            <w:vAlign w:val="center"/>
          </w:tcPr>
          <w:p>
            <w:pPr>
              <w:jc w:val="left"/>
              <w:rPr>
                <w:rFonts w:ascii="宋体" w:hAnsi="宋体"/>
                <w:b/>
                <w:color w:val="auto"/>
                <w:w w:val="90"/>
                <w:szCs w:val="21"/>
                <w:highlight w:val="none"/>
              </w:rPr>
            </w:pPr>
            <w:r>
              <w:rPr>
                <w:rFonts w:ascii="宋体" w:hAnsi="宋体"/>
                <w:b/>
                <w:color w:val="auto"/>
                <w:w w:val="90"/>
                <w:szCs w:val="21"/>
                <w:highlight w:val="none"/>
              </w:rPr>
              <w:t>冷水机组</w:t>
            </w:r>
          </w:p>
        </w:tc>
        <w:tc>
          <w:tcPr>
            <w:tcW w:w="3301" w:type="dxa"/>
            <w:vAlign w:val="center"/>
          </w:tcPr>
          <w:p>
            <w:pPr>
              <w:jc w:val="left"/>
              <w:rPr>
                <w:rFonts w:ascii="宋体" w:hAnsi="宋体"/>
                <w:color w:val="auto"/>
                <w:w w:val="90"/>
                <w:szCs w:val="21"/>
                <w:highlight w:val="none"/>
              </w:rPr>
            </w:pPr>
            <w:r>
              <w:rPr>
                <w:rFonts w:ascii="宋体" w:hAnsi="宋体"/>
                <w:color w:val="auto"/>
                <w:w w:val="90"/>
                <w:szCs w:val="21"/>
                <w:highlight w:val="none"/>
              </w:rPr>
              <w:t>《冷水机组能效限定值及能效等级》（GB 19577），《低环境温度空气源热泵（冷水）机组能效限定值及能效等级》（GB 37480）</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rFonts w:ascii="宋体" w:hAnsi="宋体"/>
                <w:color w:val="auto"/>
                <w:w w:val="90"/>
                <w:szCs w:val="21"/>
                <w:highlight w:val="none"/>
              </w:rPr>
            </w:pPr>
          </w:p>
        </w:tc>
        <w:tc>
          <w:tcPr>
            <w:tcW w:w="1933" w:type="dxa"/>
            <w:vMerge w:val="continue"/>
            <w:vAlign w:val="center"/>
          </w:tcPr>
          <w:p>
            <w:pPr>
              <w:jc w:val="left"/>
              <w:rPr>
                <w:rFonts w:ascii="宋体" w:hAnsi="宋体"/>
                <w:color w:val="auto"/>
                <w:w w:val="90"/>
                <w:szCs w:val="21"/>
                <w:highlight w:val="none"/>
              </w:rPr>
            </w:pPr>
          </w:p>
        </w:tc>
        <w:tc>
          <w:tcPr>
            <w:tcW w:w="2334" w:type="dxa"/>
            <w:vMerge w:val="continue"/>
            <w:vAlign w:val="center"/>
          </w:tcPr>
          <w:p>
            <w:pPr>
              <w:jc w:val="left"/>
              <w:rPr>
                <w:rFonts w:ascii="宋体" w:hAnsi="宋体"/>
                <w:b/>
                <w:color w:val="auto"/>
                <w:w w:val="90"/>
                <w:szCs w:val="21"/>
                <w:highlight w:val="none"/>
              </w:rPr>
            </w:pPr>
          </w:p>
        </w:tc>
        <w:tc>
          <w:tcPr>
            <w:tcW w:w="1682" w:type="dxa"/>
            <w:vAlign w:val="center"/>
          </w:tcPr>
          <w:p>
            <w:pPr>
              <w:jc w:val="left"/>
              <w:rPr>
                <w:rFonts w:ascii="宋体" w:hAnsi="宋体"/>
                <w:b/>
                <w:color w:val="auto"/>
                <w:w w:val="90"/>
                <w:szCs w:val="21"/>
                <w:highlight w:val="none"/>
              </w:rPr>
            </w:pPr>
            <w:r>
              <w:rPr>
                <w:rFonts w:ascii="宋体" w:hAnsi="宋体"/>
                <w:b/>
                <w:color w:val="auto"/>
                <w:w w:val="90"/>
                <w:szCs w:val="21"/>
                <w:highlight w:val="none"/>
              </w:rPr>
              <w:t>水源热泵机组</w:t>
            </w:r>
          </w:p>
        </w:tc>
        <w:tc>
          <w:tcPr>
            <w:tcW w:w="3301" w:type="dxa"/>
            <w:vAlign w:val="center"/>
          </w:tcPr>
          <w:p>
            <w:pPr>
              <w:jc w:val="left"/>
              <w:rPr>
                <w:rFonts w:ascii="宋体" w:hAnsi="宋体"/>
                <w:color w:val="auto"/>
                <w:w w:val="90"/>
                <w:szCs w:val="21"/>
                <w:highlight w:val="none"/>
              </w:rPr>
            </w:pPr>
            <w:r>
              <w:rPr>
                <w:rFonts w:ascii="宋体" w:hAnsi="宋体"/>
                <w:color w:val="auto"/>
                <w:w w:val="90"/>
                <w:szCs w:val="21"/>
                <w:highlight w:val="none"/>
              </w:rPr>
              <w:t>《水（地）源热泵机组能效限定值及能效等级》（GB 30721）</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rFonts w:ascii="宋体" w:hAnsi="宋体"/>
                <w:color w:val="auto"/>
                <w:w w:val="90"/>
                <w:szCs w:val="21"/>
                <w:highlight w:val="none"/>
              </w:rPr>
            </w:pPr>
          </w:p>
        </w:tc>
        <w:tc>
          <w:tcPr>
            <w:tcW w:w="1933" w:type="dxa"/>
            <w:vMerge w:val="continue"/>
            <w:vAlign w:val="center"/>
          </w:tcPr>
          <w:p>
            <w:pPr>
              <w:jc w:val="left"/>
              <w:rPr>
                <w:rFonts w:ascii="宋体" w:hAnsi="宋体"/>
                <w:color w:val="auto"/>
                <w:w w:val="90"/>
                <w:szCs w:val="21"/>
                <w:highlight w:val="none"/>
              </w:rPr>
            </w:pPr>
          </w:p>
        </w:tc>
        <w:tc>
          <w:tcPr>
            <w:tcW w:w="2334" w:type="dxa"/>
            <w:vMerge w:val="continue"/>
            <w:vAlign w:val="center"/>
          </w:tcPr>
          <w:p>
            <w:pPr>
              <w:jc w:val="left"/>
              <w:rPr>
                <w:rFonts w:ascii="宋体" w:hAnsi="宋体"/>
                <w:b/>
                <w:color w:val="auto"/>
                <w:w w:val="90"/>
                <w:szCs w:val="21"/>
                <w:highlight w:val="none"/>
              </w:rPr>
            </w:pPr>
          </w:p>
        </w:tc>
        <w:tc>
          <w:tcPr>
            <w:tcW w:w="1682" w:type="dxa"/>
            <w:vAlign w:val="center"/>
          </w:tcPr>
          <w:p>
            <w:pPr>
              <w:jc w:val="left"/>
              <w:rPr>
                <w:rFonts w:ascii="宋体" w:hAnsi="宋体"/>
                <w:b/>
                <w:color w:val="auto"/>
                <w:w w:val="90"/>
                <w:szCs w:val="21"/>
                <w:highlight w:val="none"/>
              </w:rPr>
            </w:pPr>
            <w:r>
              <w:rPr>
                <w:rFonts w:ascii="宋体" w:hAnsi="宋体"/>
                <w:b/>
                <w:color w:val="auto"/>
                <w:w w:val="90"/>
                <w:szCs w:val="21"/>
                <w:highlight w:val="none"/>
              </w:rPr>
              <w:t>溴化锂吸收式冷水机组</w:t>
            </w:r>
          </w:p>
        </w:tc>
        <w:tc>
          <w:tcPr>
            <w:tcW w:w="3301" w:type="dxa"/>
            <w:vAlign w:val="center"/>
          </w:tcPr>
          <w:p>
            <w:pPr>
              <w:jc w:val="left"/>
              <w:rPr>
                <w:rFonts w:ascii="宋体" w:hAnsi="宋体"/>
                <w:color w:val="auto"/>
                <w:w w:val="90"/>
                <w:szCs w:val="21"/>
                <w:highlight w:val="none"/>
              </w:rPr>
            </w:pPr>
            <w:r>
              <w:rPr>
                <w:rFonts w:ascii="宋体" w:hAnsi="宋体"/>
                <w:color w:val="auto"/>
                <w:w w:val="90"/>
                <w:szCs w:val="21"/>
                <w:highlight w:val="none"/>
              </w:rPr>
              <w:t>《溴化锂吸收式冷水机组能效限定值及能效等级》（GB 29540）</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rFonts w:ascii="宋体" w:hAnsi="宋体"/>
                <w:color w:val="auto"/>
                <w:w w:val="90"/>
                <w:szCs w:val="21"/>
                <w:highlight w:val="none"/>
              </w:rPr>
            </w:pPr>
          </w:p>
        </w:tc>
        <w:tc>
          <w:tcPr>
            <w:tcW w:w="1933" w:type="dxa"/>
            <w:vMerge w:val="continue"/>
            <w:vAlign w:val="center"/>
          </w:tcPr>
          <w:p>
            <w:pPr>
              <w:jc w:val="left"/>
              <w:rPr>
                <w:rFonts w:ascii="宋体" w:hAnsi="宋体"/>
                <w:color w:val="auto"/>
                <w:w w:val="90"/>
                <w:szCs w:val="21"/>
                <w:highlight w:val="none"/>
              </w:rPr>
            </w:pPr>
          </w:p>
        </w:tc>
        <w:tc>
          <w:tcPr>
            <w:tcW w:w="2334" w:type="dxa"/>
            <w:vMerge w:val="restart"/>
            <w:vAlign w:val="center"/>
          </w:tcPr>
          <w:p>
            <w:pPr>
              <w:jc w:val="left"/>
              <w:rPr>
                <w:rFonts w:ascii="宋体" w:hAnsi="宋体"/>
                <w:b/>
                <w:color w:val="auto"/>
                <w:w w:val="90"/>
                <w:szCs w:val="21"/>
                <w:highlight w:val="none"/>
              </w:rPr>
            </w:pPr>
            <w:r>
              <w:rPr>
                <w:rFonts w:hint="eastAsia" w:ascii="宋体" w:hAnsi="宋体" w:cs="宋体"/>
                <w:color w:val="auto"/>
                <w:w w:val="90"/>
                <w:szCs w:val="21"/>
                <w:highlight w:val="none"/>
              </w:rPr>
              <w:t>★</w:t>
            </w:r>
            <w:r>
              <w:rPr>
                <w:rFonts w:ascii="宋体" w:hAnsi="宋体" w:cs="Calibri"/>
                <w:b/>
                <w:color w:val="auto"/>
                <w:w w:val="90"/>
                <w:szCs w:val="21"/>
                <w:highlight w:val="none"/>
              </w:rPr>
              <w:t>A02052305</w:t>
            </w:r>
            <w:r>
              <w:rPr>
                <w:rFonts w:ascii="宋体" w:hAnsi="宋体"/>
                <w:b/>
                <w:color w:val="auto"/>
                <w:w w:val="90"/>
                <w:szCs w:val="21"/>
                <w:highlight w:val="none"/>
              </w:rPr>
              <w:t>空调机组</w:t>
            </w:r>
          </w:p>
        </w:tc>
        <w:tc>
          <w:tcPr>
            <w:tcW w:w="1682" w:type="dxa"/>
            <w:vAlign w:val="center"/>
          </w:tcPr>
          <w:p>
            <w:pPr>
              <w:jc w:val="left"/>
              <w:rPr>
                <w:rFonts w:ascii="宋体" w:hAnsi="宋体"/>
                <w:b/>
                <w:color w:val="auto"/>
                <w:w w:val="90"/>
                <w:szCs w:val="21"/>
                <w:highlight w:val="none"/>
              </w:rPr>
            </w:pPr>
            <w:r>
              <w:rPr>
                <w:rFonts w:ascii="宋体" w:hAnsi="宋体"/>
                <w:b/>
                <w:color w:val="auto"/>
                <w:w w:val="90"/>
                <w:szCs w:val="21"/>
                <w:highlight w:val="none"/>
              </w:rPr>
              <w:t>多联式空调（热泵）机组(制冷量&gt;14000W)</w:t>
            </w:r>
          </w:p>
        </w:tc>
        <w:tc>
          <w:tcPr>
            <w:tcW w:w="3301" w:type="dxa"/>
            <w:vAlign w:val="center"/>
          </w:tcPr>
          <w:p>
            <w:pPr>
              <w:jc w:val="left"/>
              <w:rPr>
                <w:rFonts w:ascii="宋体" w:hAnsi="宋体"/>
                <w:color w:val="auto"/>
                <w:w w:val="90"/>
                <w:szCs w:val="21"/>
                <w:highlight w:val="none"/>
              </w:rPr>
            </w:pPr>
            <w:r>
              <w:rPr>
                <w:rFonts w:ascii="宋体" w:hAnsi="宋体"/>
                <w:color w:val="auto"/>
                <w:w w:val="90"/>
                <w:szCs w:val="21"/>
                <w:highlight w:val="none"/>
              </w:rPr>
              <w:t>《多联式空调（热泵）机组能效限定值及能源效率等级》（GB 21454）</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rFonts w:ascii="宋体" w:hAnsi="宋体"/>
                <w:color w:val="auto"/>
                <w:w w:val="90"/>
                <w:szCs w:val="21"/>
                <w:highlight w:val="none"/>
              </w:rPr>
            </w:pPr>
          </w:p>
        </w:tc>
        <w:tc>
          <w:tcPr>
            <w:tcW w:w="1933" w:type="dxa"/>
            <w:vMerge w:val="continue"/>
            <w:vAlign w:val="center"/>
          </w:tcPr>
          <w:p>
            <w:pPr>
              <w:jc w:val="left"/>
              <w:rPr>
                <w:rFonts w:ascii="宋体" w:hAnsi="宋体"/>
                <w:color w:val="auto"/>
                <w:w w:val="90"/>
                <w:szCs w:val="21"/>
                <w:highlight w:val="none"/>
              </w:rPr>
            </w:pPr>
          </w:p>
        </w:tc>
        <w:tc>
          <w:tcPr>
            <w:tcW w:w="2334" w:type="dxa"/>
            <w:vMerge w:val="continue"/>
            <w:vAlign w:val="center"/>
          </w:tcPr>
          <w:p>
            <w:pPr>
              <w:jc w:val="left"/>
              <w:rPr>
                <w:rFonts w:ascii="宋体" w:hAnsi="宋体"/>
                <w:b/>
                <w:color w:val="auto"/>
                <w:w w:val="90"/>
                <w:szCs w:val="21"/>
                <w:highlight w:val="none"/>
              </w:rPr>
            </w:pPr>
          </w:p>
        </w:tc>
        <w:tc>
          <w:tcPr>
            <w:tcW w:w="1682" w:type="dxa"/>
            <w:vAlign w:val="center"/>
          </w:tcPr>
          <w:p>
            <w:pPr>
              <w:jc w:val="left"/>
              <w:rPr>
                <w:rFonts w:ascii="宋体" w:hAnsi="宋体"/>
                <w:b/>
                <w:color w:val="auto"/>
                <w:w w:val="90"/>
                <w:szCs w:val="21"/>
                <w:highlight w:val="none"/>
              </w:rPr>
            </w:pPr>
            <w:r>
              <w:rPr>
                <w:rFonts w:ascii="宋体" w:hAnsi="宋体"/>
                <w:b/>
                <w:color w:val="auto"/>
                <w:w w:val="90"/>
                <w:szCs w:val="21"/>
                <w:highlight w:val="none"/>
              </w:rPr>
              <w:t>单元式空气调节机(制冷量&gt;14000W)</w:t>
            </w:r>
          </w:p>
        </w:tc>
        <w:tc>
          <w:tcPr>
            <w:tcW w:w="3301" w:type="dxa"/>
            <w:vAlign w:val="center"/>
          </w:tcPr>
          <w:p>
            <w:pPr>
              <w:jc w:val="left"/>
              <w:rPr>
                <w:rFonts w:ascii="宋体" w:hAnsi="宋体"/>
                <w:color w:val="auto"/>
                <w:w w:val="90"/>
                <w:szCs w:val="21"/>
                <w:highlight w:val="none"/>
              </w:rPr>
            </w:pPr>
            <w:r>
              <w:rPr>
                <w:rFonts w:ascii="宋体" w:hAnsi="宋体"/>
                <w:color w:val="auto"/>
                <w:w w:val="90"/>
                <w:szCs w:val="21"/>
                <w:highlight w:val="none"/>
              </w:rPr>
              <w:t>《单元式空气调节机能效限定值及能效等级》（GB 19576）《风管送风式空调机组能效限定值及能效等级》（GB 37479）</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rFonts w:ascii="宋体" w:hAnsi="宋体"/>
                <w:color w:val="auto"/>
                <w:w w:val="90"/>
                <w:szCs w:val="21"/>
                <w:highlight w:val="none"/>
              </w:rPr>
            </w:pPr>
          </w:p>
        </w:tc>
        <w:tc>
          <w:tcPr>
            <w:tcW w:w="1933" w:type="dxa"/>
            <w:vMerge w:val="continue"/>
            <w:vAlign w:val="center"/>
          </w:tcPr>
          <w:p>
            <w:pPr>
              <w:jc w:val="left"/>
              <w:rPr>
                <w:rFonts w:ascii="宋体" w:hAnsi="宋体"/>
                <w:color w:val="auto"/>
                <w:w w:val="90"/>
                <w:szCs w:val="21"/>
                <w:highlight w:val="none"/>
              </w:rPr>
            </w:pPr>
          </w:p>
        </w:tc>
        <w:tc>
          <w:tcPr>
            <w:tcW w:w="2334" w:type="dxa"/>
            <w:vAlign w:val="center"/>
          </w:tcPr>
          <w:p>
            <w:pPr>
              <w:jc w:val="left"/>
              <w:rPr>
                <w:rFonts w:ascii="宋体" w:hAnsi="宋体"/>
                <w:b/>
                <w:color w:val="auto"/>
                <w:w w:val="90"/>
                <w:szCs w:val="21"/>
                <w:highlight w:val="none"/>
              </w:rPr>
            </w:pPr>
            <w:r>
              <w:rPr>
                <w:rFonts w:hint="eastAsia" w:ascii="宋体" w:hAnsi="宋体" w:cs="宋体"/>
                <w:color w:val="auto"/>
                <w:w w:val="90"/>
                <w:szCs w:val="21"/>
                <w:highlight w:val="none"/>
              </w:rPr>
              <w:t>★</w:t>
            </w:r>
            <w:r>
              <w:rPr>
                <w:rFonts w:ascii="宋体" w:hAnsi="宋体" w:cs="Calibri"/>
                <w:b/>
                <w:color w:val="auto"/>
                <w:w w:val="90"/>
                <w:szCs w:val="21"/>
                <w:highlight w:val="none"/>
              </w:rPr>
              <w:t>A02052309</w:t>
            </w:r>
            <w:r>
              <w:rPr>
                <w:rFonts w:ascii="宋体" w:hAnsi="宋体"/>
                <w:b/>
                <w:color w:val="auto"/>
                <w:w w:val="90"/>
                <w:szCs w:val="21"/>
                <w:highlight w:val="none"/>
              </w:rPr>
              <w:t>专用制冷、空调设备</w:t>
            </w:r>
          </w:p>
        </w:tc>
        <w:tc>
          <w:tcPr>
            <w:tcW w:w="1682" w:type="dxa"/>
            <w:vAlign w:val="center"/>
          </w:tcPr>
          <w:p>
            <w:pPr>
              <w:jc w:val="left"/>
              <w:rPr>
                <w:rFonts w:ascii="宋体" w:hAnsi="宋体"/>
                <w:b/>
                <w:color w:val="auto"/>
                <w:w w:val="90"/>
                <w:szCs w:val="21"/>
                <w:highlight w:val="none"/>
              </w:rPr>
            </w:pPr>
            <w:r>
              <w:rPr>
                <w:rFonts w:ascii="宋体" w:hAnsi="宋体"/>
                <w:b/>
                <w:color w:val="auto"/>
                <w:w w:val="90"/>
                <w:szCs w:val="21"/>
                <w:highlight w:val="none"/>
              </w:rPr>
              <w:t>机房空调</w:t>
            </w:r>
          </w:p>
        </w:tc>
        <w:tc>
          <w:tcPr>
            <w:tcW w:w="3301" w:type="dxa"/>
            <w:vAlign w:val="center"/>
          </w:tcPr>
          <w:p>
            <w:pPr>
              <w:jc w:val="left"/>
              <w:rPr>
                <w:rFonts w:ascii="宋体" w:hAnsi="宋体"/>
                <w:color w:val="auto"/>
                <w:w w:val="90"/>
                <w:szCs w:val="21"/>
                <w:highlight w:val="none"/>
              </w:rPr>
            </w:pPr>
            <w:r>
              <w:rPr>
                <w:rFonts w:ascii="宋体" w:hAnsi="宋体"/>
                <w:color w:val="auto"/>
                <w:w w:val="90"/>
                <w:szCs w:val="21"/>
                <w:highlight w:val="none"/>
              </w:rPr>
              <w:t>《单元式空气调节机能效限定值及能效等级》（GB 19576）</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Align w:val="center"/>
          </w:tcPr>
          <w:p>
            <w:pPr>
              <w:jc w:val="center"/>
              <w:rPr>
                <w:rFonts w:ascii="宋体" w:hAnsi="宋体"/>
                <w:color w:val="auto"/>
                <w:w w:val="90"/>
                <w:szCs w:val="21"/>
                <w:highlight w:val="none"/>
              </w:rPr>
            </w:pPr>
            <w:r>
              <w:rPr>
                <w:rFonts w:hint="eastAsia" w:ascii="宋体" w:hAnsi="宋体"/>
                <w:color w:val="auto"/>
                <w:w w:val="90"/>
                <w:szCs w:val="21"/>
                <w:highlight w:val="none"/>
              </w:rPr>
              <w:t>4</w:t>
            </w:r>
          </w:p>
        </w:tc>
        <w:tc>
          <w:tcPr>
            <w:tcW w:w="1933" w:type="dxa"/>
            <w:vAlign w:val="center"/>
          </w:tcPr>
          <w:p>
            <w:pPr>
              <w:jc w:val="left"/>
              <w:rPr>
                <w:rFonts w:ascii="宋体" w:hAnsi="宋体"/>
                <w:b/>
                <w:color w:val="auto"/>
                <w:w w:val="90"/>
                <w:szCs w:val="21"/>
                <w:highlight w:val="none"/>
              </w:rPr>
            </w:pPr>
            <w:r>
              <w:rPr>
                <w:rFonts w:hint="eastAsia" w:ascii="宋体" w:hAnsi="宋体" w:cs="宋体"/>
                <w:color w:val="auto"/>
                <w:w w:val="90"/>
                <w:szCs w:val="21"/>
                <w:highlight w:val="none"/>
              </w:rPr>
              <w:t>★</w:t>
            </w:r>
            <w:r>
              <w:rPr>
                <w:rFonts w:ascii="宋体" w:hAnsi="宋体" w:cs="Calibri"/>
                <w:b/>
                <w:color w:val="auto"/>
                <w:w w:val="90"/>
                <w:szCs w:val="21"/>
                <w:highlight w:val="none"/>
              </w:rPr>
              <w:t>A020609</w:t>
            </w:r>
            <w:r>
              <w:rPr>
                <w:rFonts w:ascii="宋体" w:hAnsi="宋体"/>
                <w:b/>
                <w:color w:val="auto"/>
                <w:w w:val="90"/>
                <w:szCs w:val="21"/>
                <w:highlight w:val="none"/>
              </w:rPr>
              <w:t>镇流器</w:t>
            </w:r>
          </w:p>
        </w:tc>
        <w:tc>
          <w:tcPr>
            <w:tcW w:w="2334" w:type="dxa"/>
            <w:vAlign w:val="center"/>
          </w:tcPr>
          <w:p>
            <w:pPr>
              <w:jc w:val="left"/>
              <w:rPr>
                <w:rFonts w:ascii="宋体" w:hAnsi="宋体"/>
                <w:b/>
                <w:color w:val="auto"/>
                <w:w w:val="90"/>
                <w:szCs w:val="21"/>
                <w:highlight w:val="none"/>
              </w:rPr>
            </w:pPr>
            <w:r>
              <w:rPr>
                <w:rFonts w:ascii="宋体" w:hAnsi="宋体"/>
                <w:b/>
                <w:color w:val="auto"/>
                <w:w w:val="90"/>
                <w:szCs w:val="21"/>
                <w:highlight w:val="none"/>
              </w:rPr>
              <w:t>管型荧光灯镇流器</w:t>
            </w:r>
          </w:p>
        </w:tc>
        <w:tc>
          <w:tcPr>
            <w:tcW w:w="1682" w:type="dxa"/>
            <w:vAlign w:val="center"/>
          </w:tcPr>
          <w:p>
            <w:pPr>
              <w:jc w:val="center"/>
              <w:rPr>
                <w:rFonts w:ascii="宋体" w:hAnsi="宋体"/>
                <w:color w:val="auto"/>
                <w:w w:val="90"/>
                <w:szCs w:val="21"/>
                <w:highlight w:val="none"/>
              </w:rPr>
            </w:pPr>
          </w:p>
        </w:tc>
        <w:tc>
          <w:tcPr>
            <w:tcW w:w="3301" w:type="dxa"/>
            <w:vAlign w:val="center"/>
          </w:tcPr>
          <w:p>
            <w:pPr>
              <w:jc w:val="left"/>
              <w:rPr>
                <w:rFonts w:ascii="宋体" w:hAnsi="宋体"/>
                <w:color w:val="auto"/>
                <w:w w:val="90"/>
                <w:szCs w:val="21"/>
                <w:highlight w:val="none"/>
              </w:rPr>
            </w:pPr>
            <w:r>
              <w:rPr>
                <w:rFonts w:ascii="宋体" w:hAnsi="宋体"/>
                <w:color w:val="auto"/>
                <w:w w:val="90"/>
                <w:szCs w:val="21"/>
                <w:highlight w:val="none"/>
              </w:rPr>
              <w:t>《管形荧光灯镇流器能效限定值及能效等级》（GB 17896）</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1509" w:hRule="atLeast"/>
          <w:jc w:val="center"/>
        </w:trPr>
        <w:tc>
          <w:tcPr>
            <w:tcW w:w="690" w:type="dxa"/>
            <w:vMerge w:val="restart"/>
            <w:vAlign w:val="center"/>
          </w:tcPr>
          <w:p>
            <w:pPr>
              <w:jc w:val="center"/>
              <w:rPr>
                <w:rFonts w:ascii="宋体" w:hAnsi="宋体"/>
                <w:color w:val="auto"/>
                <w:w w:val="90"/>
                <w:szCs w:val="21"/>
                <w:highlight w:val="none"/>
              </w:rPr>
            </w:pPr>
            <w:r>
              <w:rPr>
                <w:rFonts w:hint="eastAsia" w:ascii="宋体" w:hAnsi="宋体"/>
                <w:color w:val="auto"/>
                <w:w w:val="90"/>
                <w:szCs w:val="21"/>
                <w:highlight w:val="none"/>
              </w:rPr>
              <w:t>5</w:t>
            </w:r>
          </w:p>
        </w:tc>
        <w:tc>
          <w:tcPr>
            <w:tcW w:w="1933" w:type="dxa"/>
            <w:vMerge w:val="restart"/>
            <w:vAlign w:val="center"/>
          </w:tcPr>
          <w:p>
            <w:pPr>
              <w:jc w:val="left"/>
              <w:rPr>
                <w:rFonts w:ascii="宋体" w:hAnsi="宋体"/>
                <w:color w:val="auto"/>
                <w:w w:val="90"/>
                <w:szCs w:val="21"/>
                <w:highlight w:val="none"/>
              </w:rPr>
            </w:pPr>
            <w:r>
              <w:rPr>
                <w:rFonts w:ascii="宋体" w:hAnsi="宋体"/>
                <w:color w:val="auto"/>
                <w:w w:val="90"/>
                <w:szCs w:val="21"/>
                <w:highlight w:val="none"/>
              </w:rPr>
              <w:t>A020618 生活用电器</w:t>
            </w:r>
          </w:p>
        </w:tc>
        <w:tc>
          <w:tcPr>
            <w:tcW w:w="2334" w:type="dxa"/>
            <w:vMerge w:val="restart"/>
            <w:vAlign w:val="center"/>
          </w:tcPr>
          <w:p>
            <w:pPr>
              <w:jc w:val="left"/>
              <w:rPr>
                <w:rFonts w:ascii="宋体" w:hAnsi="宋体"/>
                <w:b/>
                <w:color w:val="auto"/>
                <w:w w:val="90"/>
                <w:szCs w:val="21"/>
                <w:highlight w:val="none"/>
              </w:rPr>
            </w:pPr>
            <w:r>
              <w:rPr>
                <w:rFonts w:hint="eastAsia" w:ascii="宋体" w:hAnsi="宋体" w:cs="宋体"/>
                <w:color w:val="auto"/>
                <w:w w:val="90"/>
                <w:szCs w:val="21"/>
                <w:highlight w:val="none"/>
              </w:rPr>
              <w:t>★</w:t>
            </w:r>
            <w:r>
              <w:rPr>
                <w:rFonts w:ascii="宋体" w:hAnsi="宋体" w:cs="Calibri"/>
                <w:b/>
                <w:color w:val="auto"/>
                <w:w w:val="90"/>
                <w:szCs w:val="21"/>
                <w:highlight w:val="none"/>
              </w:rPr>
              <w:t>A0206180203</w:t>
            </w:r>
            <w:r>
              <w:rPr>
                <w:rFonts w:ascii="宋体" w:hAnsi="宋体"/>
                <w:b/>
                <w:color w:val="auto"/>
                <w:w w:val="90"/>
                <w:szCs w:val="21"/>
                <w:highlight w:val="none"/>
              </w:rPr>
              <w:t>空调机</w:t>
            </w:r>
          </w:p>
        </w:tc>
        <w:tc>
          <w:tcPr>
            <w:tcW w:w="1682" w:type="dxa"/>
            <w:vAlign w:val="center"/>
          </w:tcPr>
          <w:p>
            <w:pPr>
              <w:jc w:val="left"/>
              <w:rPr>
                <w:rFonts w:ascii="宋体" w:hAnsi="宋体"/>
                <w:b/>
                <w:color w:val="auto"/>
                <w:w w:val="90"/>
                <w:szCs w:val="21"/>
                <w:highlight w:val="none"/>
              </w:rPr>
            </w:pPr>
            <w:r>
              <w:rPr>
                <w:rFonts w:ascii="宋体" w:hAnsi="宋体"/>
                <w:b/>
                <w:color w:val="auto"/>
                <w:w w:val="90"/>
                <w:szCs w:val="21"/>
                <w:highlight w:val="none"/>
              </w:rPr>
              <w:t>房间空气调节器</w:t>
            </w:r>
          </w:p>
        </w:tc>
        <w:tc>
          <w:tcPr>
            <w:tcW w:w="3301" w:type="dxa"/>
            <w:vAlign w:val="center"/>
          </w:tcPr>
          <w:p>
            <w:pPr>
              <w:jc w:val="left"/>
              <w:rPr>
                <w:rFonts w:ascii="宋体" w:hAnsi="宋体"/>
                <w:color w:val="auto"/>
                <w:w w:val="90"/>
                <w:szCs w:val="21"/>
                <w:highlight w:val="none"/>
              </w:rPr>
            </w:pPr>
            <w:r>
              <w:rPr>
                <w:rFonts w:ascii="宋体" w:hAnsi="宋体"/>
                <w:color w:val="auto"/>
                <w:w w:val="90"/>
                <w:szCs w:val="21"/>
                <w:highlight w:val="none"/>
              </w:rPr>
              <w:t>《转速可控型房间空气调节器能效限定值及能效等级》（GB</w:t>
            </w:r>
            <w:r>
              <w:rPr>
                <w:rFonts w:hint="eastAsia" w:ascii="宋体" w:hAnsi="宋体"/>
                <w:color w:val="auto"/>
                <w:w w:val="90"/>
                <w:szCs w:val="21"/>
                <w:highlight w:val="none"/>
              </w:rPr>
              <w:t xml:space="preserve"> </w:t>
            </w:r>
            <w:r>
              <w:rPr>
                <w:rFonts w:ascii="宋体" w:hAnsi="宋体"/>
                <w:color w:val="auto"/>
                <w:w w:val="90"/>
                <w:szCs w:val="21"/>
                <w:highlight w:val="none"/>
              </w:rPr>
              <w:t>21455-2013），待2019年修订发布后，按《房间空气调节器能效限定值及能效等级》（GB21455-2019）实施。</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rFonts w:ascii="宋体" w:hAnsi="宋体"/>
                <w:color w:val="auto"/>
                <w:w w:val="90"/>
                <w:szCs w:val="21"/>
                <w:highlight w:val="none"/>
              </w:rPr>
            </w:pPr>
          </w:p>
        </w:tc>
        <w:tc>
          <w:tcPr>
            <w:tcW w:w="1933" w:type="dxa"/>
            <w:vMerge w:val="continue"/>
            <w:vAlign w:val="center"/>
          </w:tcPr>
          <w:p>
            <w:pPr>
              <w:jc w:val="left"/>
              <w:rPr>
                <w:rFonts w:ascii="宋体" w:hAnsi="宋体"/>
                <w:color w:val="auto"/>
                <w:w w:val="90"/>
                <w:szCs w:val="21"/>
                <w:highlight w:val="none"/>
              </w:rPr>
            </w:pPr>
          </w:p>
        </w:tc>
        <w:tc>
          <w:tcPr>
            <w:tcW w:w="2334" w:type="dxa"/>
            <w:vMerge w:val="continue"/>
            <w:vAlign w:val="center"/>
          </w:tcPr>
          <w:p>
            <w:pPr>
              <w:jc w:val="left"/>
              <w:rPr>
                <w:rFonts w:ascii="宋体" w:hAnsi="宋体"/>
                <w:b/>
                <w:color w:val="auto"/>
                <w:w w:val="90"/>
                <w:szCs w:val="21"/>
                <w:highlight w:val="none"/>
              </w:rPr>
            </w:pPr>
          </w:p>
        </w:tc>
        <w:tc>
          <w:tcPr>
            <w:tcW w:w="1682" w:type="dxa"/>
            <w:vAlign w:val="center"/>
          </w:tcPr>
          <w:p>
            <w:pPr>
              <w:jc w:val="left"/>
              <w:rPr>
                <w:rFonts w:ascii="宋体" w:hAnsi="宋体"/>
                <w:b/>
                <w:color w:val="auto"/>
                <w:w w:val="90"/>
                <w:szCs w:val="21"/>
                <w:highlight w:val="none"/>
              </w:rPr>
            </w:pPr>
            <w:r>
              <w:rPr>
                <w:rFonts w:ascii="宋体" w:hAnsi="宋体"/>
                <w:b/>
                <w:color w:val="auto"/>
                <w:w w:val="90"/>
                <w:szCs w:val="21"/>
                <w:highlight w:val="none"/>
              </w:rPr>
              <w:t>多联式空调（热泵）机组（制冷量≤ 14000W）</w:t>
            </w:r>
          </w:p>
        </w:tc>
        <w:tc>
          <w:tcPr>
            <w:tcW w:w="3301" w:type="dxa"/>
            <w:vAlign w:val="center"/>
          </w:tcPr>
          <w:p>
            <w:pPr>
              <w:jc w:val="left"/>
              <w:rPr>
                <w:rFonts w:ascii="宋体" w:hAnsi="宋体"/>
                <w:color w:val="auto"/>
                <w:w w:val="90"/>
                <w:szCs w:val="21"/>
                <w:highlight w:val="none"/>
              </w:rPr>
            </w:pPr>
            <w:r>
              <w:rPr>
                <w:rFonts w:ascii="宋体" w:hAnsi="宋体"/>
                <w:color w:val="auto"/>
                <w:w w:val="90"/>
                <w:szCs w:val="21"/>
                <w:highlight w:val="none"/>
              </w:rPr>
              <w:t>《多联式空调（热泵）机组能效限定值及能源效率等级》（GB 21454）</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rFonts w:ascii="宋体" w:hAnsi="宋体"/>
                <w:color w:val="auto"/>
                <w:w w:val="90"/>
                <w:szCs w:val="21"/>
                <w:highlight w:val="none"/>
              </w:rPr>
            </w:pPr>
          </w:p>
        </w:tc>
        <w:tc>
          <w:tcPr>
            <w:tcW w:w="1933" w:type="dxa"/>
            <w:vMerge w:val="continue"/>
            <w:vAlign w:val="center"/>
          </w:tcPr>
          <w:p>
            <w:pPr>
              <w:jc w:val="left"/>
              <w:rPr>
                <w:rFonts w:ascii="宋体" w:hAnsi="宋体"/>
                <w:color w:val="auto"/>
                <w:w w:val="90"/>
                <w:szCs w:val="21"/>
                <w:highlight w:val="none"/>
              </w:rPr>
            </w:pPr>
          </w:p>
        </w:tc>
        <w:tc>
          <w:tcPr>
            <w:tcW w:w="2334" w:type="dxa"/>
            <w:vMerge w:val="continue"/>
            <w:vAlign w:val="center"/>
          </w:tcPr>
          <w:p>
            <w:pPr>
              <w:jc w:val="left"/>
              <w:rPr>
                <w:rFonts w:ascii="宋体" w:hAnsi="宋体"/>
                <w:b/>
                <w:color w:val="auto"/>
                <w:w w:val="90"/>
                <w:szCs w:val="21"/>
                <w:highlight w:val="none"/>
              </w:rPr>
            </w:pPr>
          </w:p>
        </w:tc>
        <w:tc>
          <w:tcPr>
            <w:tcW w:w="1682" w:type="dxa"/>
            <w:vAlign w:val="center"/>
          </w:tcPr>
          <w:p>
            <w:pPr>
              <w:jc w:val="left"/>
              <w:rPr>
                <w:rFonts w:ascii="宋体" w:hAnsi="宋体"/>
                <w:b/>
                <w:color w:val="auto"/>
                <w:w w:val="90"/>
                <w:szCs w:val="21"/>
                <w:highlight w:val="none"/>
              </w:rPr>
            </w:pPr>
            <w:r>
              <w:rPr>
                <w:rFonts w:ascii="宋体" w:hAnsi="宋体"/>
                <w:b/>
                <w:color w:val="auto"/>
                <w:w w:val="90"/>
                <w:szCs w:val="21"/>
                <w:highlight w:val="none"/>
              </w:rPr>
              <w:t>单元式空气调节机(制冷量≤14000W)</w:t>
            </w:r>
          </w:p>
        </w:tc>
        <w:tc>
          <w:tcPr>
            <w:tcW w:w="3301" w:type="dxa"/>
            <w:vAlign w:val="center"/>
          </w:tcPr>
          <w:p>
            <w:pPr>
              <w:jc w:val="left"/>
              <w:rPr>
                <w:rFonts w:ascii="宋体" w:hAnsi="宋体"/>
                <w:color w:val="auto"/>
                <w:w w:val="90"/>
                <w:szCs w:val="21"/>
                <w:highlight w:val="none"/>
              </w:rPr>
            </w:pPr>
            <w:r>
              <w:rPr>
                <w:rFonts w:ascii="宋体" w:hAnsi="宋体"/>
                <w:color w:val="auto"/>
                <w:w w:val="90"/>
                <w:szCs w:val="21"/>
                <w:highlight w:val="none"/>
              </w:rPr>
              <w:t>《单元式空气调节机能效限定值及能源效率等级》（GB 19576）《风管送风式空调机组能效限定值及能效等级》（GB 37479）</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1161" w:hRule="atLeast"/>
          <w:jc w:val="center"/>
        </w:trPr>
        <w:tc>
          <w:tcPr>
            <w:tcW w:w="690" w:type="dxa"/>
            <w:vMerge w:val="continue"/>
            <w:vAlign w:val="center"/>
          </w:tcPr>
          <w:p>
            <w:pPr>
              <w:jc w:val="center"/>
              <w:rPr>
                <w:rFonts w:ascii="宋体" w:hAnsi="宋体"/>
                <w:color w:val="auto"/>
                <w:w w:val="90"/>
                <w:szCs w:val="21"/>
                <w:highlight w:val="none"/>
              </w:rPr>
            </w:pPr>
          </w:p>
        </w:tc>
        <w:tc>
          <w:tcPr>
            <w:tcW w:w="1933" w:type="dxa"/>
            <w:vMerge w:val="continue"/>
            <w:vAlign w:val="center"/>
          </w:tcPr>
          <w:p>
            <w:pPr>
              <w:jc w:val="left"/>
              <w:rPr>
                <w:rFonts w:ascii="宋体" w:hAnsi="宋体"/>
                <w:color w:val="auto"/>
                <w:w w:val="90"/>
                <w:szCs w:val="21"/>
                <w:highlight w:val="none"/>
              </w:rPr>
            </w:pPr>
          </w:p>
        </w:tc>
        <w:tc>
          <w:tcPr>
            <w:tcW w:w="2334" w:type="dxa"/>
            <w:vAlign w:val="center"/>
          </w:tcPr>
          <w:p>
            <w:pPr>
              <w:jc w:val="left"/>
              <w:rPr>
                <w:rFonts w:ascii="宋体" w:hAnsi="宋体"/>
                <w:color w:val="auto"/>
                <w:w w:val="90"/>
                <w:szCs w:val="21"/>
                <w:highlight w:val="none"/>
              </w:rPr>
            </w:pPr>
            <w:r>
              <w:rPr>
                <w:rFonts w:ascii="宋体" w:hAnsi="宋体"/>
                <w:color w:val="auto"/>
                <w:w w:val="90"/>
                <w:szCs w:val="21"/>
                <w:highlight w:val="none"/>
              </w:rPr>
              <w:t>A02061808热水器</w:t>
            </w:r>
          </w:p>
        </w:tc>
        <w:tc>
          <w:tcPr>
            <w:tcW w:w="1682" w:type="dxa"/>
            <w:vAlign w:val="center"/>
          </w:tcPr>
          <w:p>
            <w:pPr>
              <w:jc w:val="left"/>
              <w:rPr>
                <w:rFonts w:ascii="宋体" w:hAnsi="宋体"/>
                <w:color w:val="auto"/>
                <w:w w:val="90"/>
                <w:szCs w:val="21"/>
                <w:highlight w:val="none"/>
              </w:rPr>
            </w:pPr>
            <w:r>
              <w:rPr>
                <w:rFonts w:hint="eastAsia" w:ascii="宋体" w:hAnsi="宋体" w:cs="宋体"/>
                <w:color w:val="auto"/>
                <w:w w:val="90"/>
                <w:szCs w:val="21"/>
                <w:highlight w:val="none"/>
              </w:rPr>
              <w:t>★</w:t>
            </w:r>
            <w:r>
              <w:rPr>
                <w:rFonts w:ascii="宋体" w:hAnsi="宋体"/>
                <w:b/>
                <w:color w:val="auto"/>
                <w:w w:val="90"/>
                <w:szCs w:val="21"/>
                <w:highlight w:val="none"/>
              </w:rPr>
              <w:t>电热水器</w:t>
            </w:r>
          </w:p>
        </w:tc>
        <w:tc>
          <w:tcPr>
            <w:tcW w:w="3301" w:type="dxa"/>
            <w:vAlign w:val="center"/>
          </w:tcPr>
          <w:p>
            <w:pPr>
              <w:jc w:val="left"/>
              <w:rPr>
                <w:rFonts w:ascii="宋体" w:hAnsi="宋体"/>
                <w:color w:val="auto"/>
                <w:w w:val="90"/>
                <w:szCs w:val="21"/>
                <w:highlight w:val="none"/>
              </w:rPr>
            </w:pPr>
            <w:r>
              <w:rPr>
                <w:rFonts w:ascii="宋体" w:hAnsi="宋体"/>
                <w:color w:val="auto"/>
                <w:w w:val="90"/>
                <w:szCs w:val="21"/>
                <w:highlight w:val="none"/>
              </w:rPr>
              <w:t>《储水式电热水器能效限定值及能效等级》（GB</w:t>
            </w:r>
            <w:r>
              <w:rPr>
                <w:rFonts w:hint="eastAsia" w:ascii="宋体" w:hAnsi="宋体"/>
                <w:color w:val="auto"/>
                <w:w w:val="90"/>
                <w:szCs w:val="21"/>
                <w:highlight w:val="none"/>
              </w:rPr>
              <w:t xml:space="preserve"> </w:t>
            </w:r>
            <w:r>
              <w:rPr>
                <w:rFonts w:ascii="宋体" w:hAnsi="宋体"/>
                <w:color w:val="auto"/>
                <w:w w:val="90"/>
                <w:szCs w:val="21"/>
                <w:highlight w:val="none"/>
              </w:rPr>
              <w:t>21519）</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Align w:val="center"/>
          </w:tcPr>
          <w:p>
            <w:pPr>
              <w:jc w:val="center"/>
              <w:rPr>
                <w:rFonts w:ascii="宋体" w:hAnsi="宋体"/>
                <w:color w:val="auto"/>
                <w:w w:val="90"/>
                <w:szCs w:val="21"/>
                <w:highlight w:val="none"/>
              </w:rPr>
            </w:pPr>
            <w:r>
              <w:rPr>
                <w:rFonts w:hint="eastAsia" w:ascii="宋体" w:hAnsi="宋体"/>
                <w:color w:val="auto"/>
                <w:w w:val="90"/>
                <w:szCs w:val="21"/>
                <w:highlight w:val="none"/>
              </w:rPr>
              <w:t>6</w:t>
            </w:r>
          </w:p>
        </w:tc>
        <w:tc>
          <w:tcPr>
            <w:tcW w:w="1933" w:type="dxa"/>
            <w:vAlign w:val="center"/>
          </w:tcPr>
          <w:p>
            <w:pPr>
              <w:jc w:val="left"/>
              <w:rPr>
                <w:rFonts w:ascii="宋体" w:hAnsi="宋体"/>
                <w:color w:val="auto"/>
                <w:w w:val="90"/>
                <w:szCs w:val="21"/>
                <w:highlight w:val="none"/>
              </w:rPr>
            </w:pPr>
            <w:r>
              <w:rPr>
                <w:rFonts w:ascii="宋体" w:hAnsi="宋体"/>
                <w:color w:val="auto"/>
                <w:w w:val="90"/>
                <w:szCs w:val="21"/>
                <w:highlight w:val="none"/>
              </w:rPr>
              <w:t>A020619 照明设备</w:t>
            </w:r>
          </w:p>
        </w:tc>
        <w:tc>
          <w:tcPr>
            <w:tcW w:w="2334" w:type="dxa"/>
            <w:vAlign w:val="center"/>
          </w:tcPr>
          <w:p>
            <w:pPr>
              <w:jc w:val="left"/>
              <w:rPr>
                <w:rFonts w:ascii="宋体" w:hAnsi="宋体"/>
                <w:b/>
                <w:color w:val="auto"/>
                <w:w w:val="90"/>
                <w:szCs w:val="21"/>
                <w:highlight w:val="none"/>
              </w:rPr>
            </w:pPr>
            <w:r>
              <w:rPr>
                <w:rFonts w:hint="eastAsia" w:ascii="宋体" w:hAnsi="宋体" w:cs="宋体"/>
                <w:color w:val="auto"/>
                <w:w w:val="90"/>
                <w:szCs w:val="21"/>
                <w:highlight w:val="none"/>
              </w:rPr>
              <w:t>★</w:t>
            </w:r>
            <w:r>
              <w:rPr>
                <w:rFonts w:ascii="宋体" w:hAnsi="宋体"/>
                <w:b/>
                <w:color w:val="auto"/>
                <w:w w:val="90"/>
                <w:szCs w:val="21"/>
                <w:highlight w:val="none"/>
              </w:rPr>
              <w:t>普通照明用双端荧光灯</w:t>
            </w:r>
          </w:p>
        </w:tc>
        <w:tc>
          <w:tcPr>
            <w:tcW w:w="1682" w:type="dxa"/>
            <w:vAlign w:val="center"/>
          </w:tcPr>
          <w:p>
            <w:pPr>
              <w:jc w:val="center"/>
              <w:rPr>
                <w:rFonts w:ascii="宋体" w:hAnsi="宋体"/>
                <w:color w:val="auto"/>
                <w:w w:val="90"/>
                <w:szCs w:val="21"/>
                <w:highlight w:val="none"/>
              </w:rPr>
            </w:pPr>
          </w:p>
        </w:tc>
        <w:tc>
          <w:tcPr>
            <w:tcW w:w="3301" w:type="dxa"/>
            <w:vAlign w:val="center"/>
          </w:tcPr>
          <w:p>
            <w:pPr>
              <w:jc w:val="left"/>
              <w:rPr>
                <w:rFonts w:ascii="宋体" w:hAnsi="宋体"/>
                <w:color w:val="auto"/>
                <w:w w:val="90"/>
                <w:szCs w:val="21"/>
                <w:highlight w:val="none"/>
              </w:rPr>
            </w:pPr>
            <w:r>
              <w:rPr>
                <w:rFonts w:ascii="宋体" w:hAnsi="宋体"/>
                <w:color w:val="auto"/>
                <w:w w:val="90"/>
                <w:szCs w:val="21"/>
                <w:highlight w:val="none"/>
              </w:rPr>
              <w:t>《普通照明用双端荧光灯能效限定值及能效等级》（GB 19043）</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Align w:val="center"/>
          </w:tcPr>
          <w:p>
            <w:pPr>
              <w:jc w:val="center"/>
              <w:rPr>
                <w:rFonts w:ascii="宋体" w:hAnsi="宋体"/>
                <w:color w:val="auto"/>
                <w:w w:val="90"/>
                <w:szCs w:val="21"/>
                <w:highlight w:val="none"/>
              </w:rPr>
            </w:pPr>
            <w:r>
              <w:rPr>
                <w:rFonts w:hint="eastAsia" w:ascii="宋体" w:hAnsi="宋体"/>
                <w:color w:val="auto"/>
                <w:w w:val="90"/>
                <w:szCs w:val="21"/>
                <w:highlight w:val="none"/>
              </w:rPr>
              <w:t>7</w:t>
            </w:r>
          </w:p>
        </w:tc>
        <w:tc>
          <w:tcPr>
            <w:tcW w:w="1933" w:type="dxa"/>
            <w:vAlign w:val="center"/>
          </w:tcPr>
          <w:p>
            <w:pPr>
              <w:jc w:val="left"/>
              <w:rPr>
                <w:rFonts w:ascii="宋体" w:hAnsi="宋体"/>
                <w:b/>
                <w:color w:val="auto"/>
                <w:w w:val="90"/>
                <w:szCs w:val="21"/>
                <w:highlight w:val="none"/>
              </w:rPr>
            </w:pPr>
            <w:r>
              <w:rPr>
                <w:rFonts w:hint="eastAsia" w:ascii="宋体" w:hAnsi="宋体" w:cs="宋体"/>
                <w:color w:val="auto"/>
                <w:w w:val="90"/>
                <w:szCs w:val="21"/>
                <w:highlight w:val="none"/>
              </w:rPr>
              <w:t>★</w:t>
            </w:r>
            <w:r>
              <w:rPr>
                <w:rFonts w:ascii="宋体" w:hAnsi="宋体" w:cs="Calibri"/>
                <w:b/>
                <w:color w:val="auto"/>
                <w:w w:val="90"/>
                <w:szCs w:val="21"/>
                <w:highlight w:val="none"/>
              </w:rPr>
              <w:t>A020910</w:t>
            </w:r>
            <w:r>
              <w:rPr>
                <w:rFonts w:ascii="宋体" w:hAnsi="宋体"/>
                <w:b/>
                <w:color w:val="auto"/>
                <w:w w:val="90"/>
                <w:szCs w:val="21"/>
                <w:highlight w:val="none"/>
              </w:rPr>
              <w:t>电视设备</w:t>
            </w:r>
          </w:p>
        </w:tc>
        <w:tc>
          <w:tcPr>
            <w:tcW w:w="2334" w:type="dxa"/>
            <w:vAlign w:val="center"/>
          </w:tcPr>
          <w:p>
            <w:pPr>
              <w:jc w:val="left"/>
              <w:rPr>
                <w:rFonts w:ascii="宋体" w:hAnsi="宋体"/>
                <w:b/>
                <w:color w:val="auto"/>
                <w:w w:val="90"/>
                <w:szCs w:val="21"/>
                <w:highlight w:val="none"/>
              </w:rPr>
            </w:pPr>
            <w:r>
              <w:rPr>
                <w:rFonts w:ascii="宋体" w:hAnsi="宋体"/>
                <w:b/>
                <w:color w:val="auto"/>
                <w:w w:val="90"/>
                <w:szCs w:val="21"/>
                <w:highlight w:val="none"/>
              </w:rPr>
              <w:t>A02091001普通电视设备（电视机）</w:t>
            </w:r>
          </w:p>
        </w:tc>
        <w:tc>
          <w:tcPr>
            <w:tcW w:w="1682" w:type="dxa"/>
            <w:vAlign w:val="center"/>
          </w:tcPr>
          <w:p>
            <w:pPr>
              <w:jc w:val="center"/>
              <w:rPr>
                <w:rFonts w:ascii="宋体" w:hAnsi="宋体"/>
                <w:color w:val="auto"/>
                <w:w w:val="90"/>
                <w:szCs w:val="21"/>
                <w:highlight w:val="none"/>
              </w:rPr>
            </w:pPr>
          </w:p>
        </w:tc>
        <w:tc>
          <w:tcPr>
            <w:tcW w:w="3301" w:type="dxa"/>
            <w:vAlign w:val="center"/>
          </w:tcPr>
          <w:p>
            <w:pPr>
              <w:jc w:val="left"/>
              <w:rPr>
                <w:rFonts w:ascii="宋体" w:hAnsi="宋体"/>
                <w:color w:val="auto"/>
                <w:w w:val="90"/>
                <w:szCs w:val="21"/>
                <w:highlight w:val="none"/>
              </w:rPr>
            </w:pPr>
            <w:r>
              <w:rPr>
                <w:rFonts w:ascii="宋体" w:hAnsi="宋体"/>
                <w:color w:val="auto"/>
                <w:w w:val="90"/>
                <w:szCs w:val="21"/>
                <w:highlight w:val="none"/>
              </w:rPr>
              <w:t>《平板电视能效限定值及能效等级》（GB 24850）</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Align w:val="center"/>
          </w:tcPr>
          <w:p>
            <w:pPr>
              <w:jc w:val="center"/>
              <w:rPr>
                <w:rFonts w:ascii="宋体" w:hAnsi="宋体"/>
                <w:color w:val="auto"/>
                <w:w w:val="90"/>
                <w:szCs w:val="21"/>
                <w:highlight w:val="none"/>
              </w:rPr>
            </w:pPr>
            <w:r>
              <w:rPr>
                <w:rFonts w:hint="eastAsia" w:ascii="宋体" w:hAnsi="宋体"/>
                <w:color w:val="auto"/>
                <w:w w:val="90"/>
                <w:szCs w:val="21"/>
                <w:highlight w:val="none"/>
              </w:rPr>
              <w:t>8</w:t>
            </w:r>
          </w:p>
        </w:tc>
        <w:tc>
          <w:tcPr>
            <w:tcW w:w="1933" w:type="dxa"/>
            <w:vAlign w:val="center"/>
          </w:tcPr>
          <w:p>
            <w:pPr>
              <w:jc w:val="left"/>
              <w:rPr>
                <w:rFonts w:ascii="宋体" w:hAnsi="宋体"/>
                <w:b/>
                <w:color w:val="auto"/>
                <w:w w:val="90"/>
                <w:szCs w:val="21"/>
                <w:highlight w:val="none"/>
              </w:rPr>
            </w:pPr>
            <w:r>
              <w:rPr>
                <w:rFonts w:hint="eastAsia" w:ascii="宋体" w:hAnsi="宋体" w:cs="宋体"/>
                <w:color w:val="auto"/>
                <w:w w:val="90"/>
                <w:szCs w:val="21"/>
                <w:highlight w:val="none"/>
              </w:rPr>
              <w:t>★</w:t>
            </w:r>
            <w:r>
              <w:rPr>
                <w:rFonts w:ascii="宋体" w:hAnsi="宋体" w:cs="Calibri"/>
                <w:b/>
                <w:color w:val="auto"/>
                <w:w w:val="90"/>
                <w:szCs w:val="21"/>
                <w:highlight w:val="none"/>
              </w:rPr>
              <w:t>A020911</w:t>
            </w:r>
            <w:r>
              <w:rPr>
                <w:rFonts w:ascii="宋体" w:hAnsi="宋体"/>
                <w:b/>
                <w:color w:val="auto"/>
                <w:w w:val="90"/>
                <w:szCs w:val="21"/>
                <w:highlight w:val="none"/>
              </w:rPr>
              <w:t>视频设备</w:t>
            </w:r>
          </w:p>
        </w:tc>
        <w:tc>
          <w:tcPr>
            <w:tcW w:w="2334" w:type="dxa"/>
            <w:vAlign w:val="center"/>
          </w:tcPr>
          <w:p>
            <w:pPr>
              <w:jc w:val="left"/>
              <w:rPr>
                <w:rFonts w:ascii="宋体" w:hAnsi="宋体"/>
                <w:b/>
                <w:color w:val="auto"/>
                <w:w w:val="90"/>
                <w:szCs w:val="21"/>
                <w:highlight w:val="none"/>
              </w:rPr>
            </w:pPr>
            <w:r>
              <w:rPr>
                <w:rFonts w:ascii="宋体" w:hAnsi="宋体"/>
                <w:b/>
                <w:color w:val="auto"/>
                <w:w w:val="90"/>
                <w:szCs w:val="21"/>
                <w:highlight w:val="none"/>
              </w:rPr>
              <w:t>A02091107视频监控设备</w:t>
            </w:r>
          </w:p>
        </w:tc>
        <w:tc>
          <w:tcPr>
            <w:tcW w:w="1682" w:type="dxa"/>
            <w:vAlign w:val="center"/>
          </w:tcPr>
          <w:p>
            <w:pPr>
              <w:jc w:val="center"/>
              <w:rPr>
                <w:rFonts w:ascii="宋体" w:hAnsi="宋体"/>
                <w:b/>
                <w:color w:val="auto"/>
                <w:w w:val="90"/>
                <w:szCs w:val="21"/>
                <w:highlight w:val="none"/>
              </w:rPr>
            </w:pPr>
            <w:r>
              <w:rPr>
                <w:rFonts w:ascii="宋体" w:hAnsi="宋体"/>
                <w:b/>
                <w:color w:val="auto"/>
                <w:w w:val="90"/>
                <w:szCs w:val="21"/>
                <w:highlight w:val="none"/>
              </w:rPr>
              <w:t>监视器</w:t>
            </w:r>
          </w:p>
        </w:tc>
        <w:tc>
          <w:tcPr>
            <w:tcW w:w="3301" w:type="dxa"/>
            <w:vAlign w:val="center"/>
          </w:tcPr>
          <w:p>
            <w:pPr>
              <w:jc w:val="left"/>
              <w:rPr>
                <w:rFonts w:ascii="宋体" w:hAnsi="宋体"/>
                <w:color w:val="auto"/>
                <w:w w:val="90"/>
                <w:szCs w:val="21"/>
                <w:highlight w:val="none"/>
              </w:rPr>
            </w:pPr>
            <w:r>
              <w:rPr>
                <w:rFonts w:ascii="宋体" w:hAnsi="宋体"/>
                <w:color w:val="auto"/>
                <w:w w:val="90"/>
                <w:szCs w:val="21"/>
                <w:highlight w:val="none"/>
              </w:rPr>
              <w:t>以射频信号为主要信号输入的监视器应符合《平板电视能效限定值及能效等级》（GB 24850），以数字信号为主要信号输入的监视器应符合《计算机显示器能效限定值及能效等级》（GB 21520）</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restart"/>
            <w:vAlign w:val="center"/>
          </w:tcPr>
          <w:p>
            <w:pPr>
              <w:jc w:val="center"/>
              <w:rPr>
                <w:rFonts w:ascii="宋体" w:hAnsi="宋体"/>
                <w:color w:val="auto"/>
                <w:w w:val="90"/>
                <w:szCs w:val="21"/>
                <w:highlight w:val="none"/>
              </w:rPr>
            </w:pPr>
            <w:r>
              <w:rPr>
                <w:rFonts w:hint="eastAsia" w:ascii="宋体" w:hAnsi="宋体"/>
                <w:color w:val="auto"/>
                <w:w w:val="90"/>
                <w:szCs w:val="21"/>
                <w:highlight w:val="none"/>
              </w:rPr>
              <w:t>9</w:t>
            </w:r>
          </w:p>
        </w:tc>
        <w:tc>
          <w:tcPr>
            <w:tcW w:w="1933" w:type="dxa"/>
            <w:vMerge w:val="restart"/>
            <w:vAlign w:val="center"/>
          </w:tcPr>
          <w:p>
            <w:pPr>
              <w:jc w:val="left"/>
              <w:rPr>
                <w:rFonts w:ascii="宋体" w:hAnsi="宋体"/>
                <w:b/>
                <w:color w:val="auto"/>
                <w:w w:val="90"/>
                <w:szCs w:val="21"/>
                <w:highlight w:val="none"/>
              </w:rPr>
            </w:pPr>
            <w:r>
              <w:rPr>
                <w:rFonts w:hint="eastAsia" w:ascii="宋体" w:hAnsi="宋体" w:cs="宋体"/>
                <w:color w:val="auto"/>
                <w:w w:val="90"/>
                <w:szCs w:val="21"/>
                <w:highlight w:val="none"/>
              </w:rPr>
              <w:t>★</w:t>
            </w:r>
            <w:r>
              <w:rPr>
                <w:rFonts w:ascii="宋体" w:hAnsi="宋体" w:cs="Calibri"/>
                <w:b/>
                <w:color w:val="auto"/>
                <w:w w:val="90"/>
                <w:szCs w:val="21"/>
                <w:highlight w:val="none"/>
              </w:rPr>
              <w:t>A060805</w:t>
            </w:r>
            <w:r>
              <w:rPr>
                <w:rFonts w:ascii="宋体" w:hAnsi="宋体"/>
                <w:b/>
                <w:color w:val="auto"/>
                <w:w w:val="90"/>
                <w:szCs w:val="21"/>
                <w:highlight w:val="none"/>
              </w:rPr>
              <w:t>便器</w:t>
            </w:r>
          </w:p>
        </w:tc>
        <w:tc>
          <w:tcPr>
            <w:tcW w:w="2334" w:type="dxa"/>
            <w:vAlign w:val="center"/>
          </w:tcPr>
          <w:p>
            <w:pPr>
              <w:jc w:val="left"/>
              <w:rPr>
                <w:rFonts w:ascii="宋体" w:hAnsi="宋体"/>
                <w:b/>
                <w:color w:val="auto"/>
                <w:w w:val="90"/>
                <w:szCs w:val="21"/>
                <w:highlight w:val="none"/>
              </w:rPr>
            </w:pPr>
            <w:r>
              <w:rPr>
                <w:rFonts w:ascii="宋体" w:hAnsi="宋体"/>
                <w:b/>
                <w:color w:val="auto"/>
                <w:w w:val="90"/>
                <w:szCs w:val="21"/>
                <w:highlight w:val="none"/>
              </w:rPr>
              <w:t>坐便器</w:t>
            </w:r>
          </w:p>
        </w:tc>
        <w:tc>
          <w:tcPr>
            <w:tcW w:w="1682" w:type="dxa"/>
            <w:vAlign w:val="center"/>
          </w:tcPr>
          <w:p>
            <w:pPr>
              <w:jc w:val="center"/>
              <w:rPr>
                <w:rFonts w:ascii="宋体" w:hAnsi="宋体"/>
                <w:color w:val="auto"/>
                <w:w w:val="90"/>
                <w:szCs w:val="21"/>
                <w:highlight w:val="none"/>
              </w:rPr>
            </w:pPr>
          </w:p>
        </w:tc>
        <w:tc>
          <w:tcPr>
            <w:tcW w:w="3301" w:type="dxa"/>
            <w:vAlign w:val="center"/>
          </w:tcPr>
          <w:p>
            <w:pPr>
              <w:jc w:val="left"/>
              <w:rPr>
                <w:rFonts w:ascii="宋体" w:hAnsi="宋体"/>
                <w:color w:val="auto"/>
                <w:w w:val="90"/>
                <w:szCs w:val="21"/>
                <w:highlight w:val="none"/>
              </w:rPr>
            </w:pPr>
            <w:r>
              <w:rPr>
                <w:rFonts w:ascii="宋体" w:hAnsi="宋体"/>
                <w:color w:val="auto"/>
                <w:w w:val="90"/>
                <w:szCs w:val="21"/>
                <w:highlight w:val="none"/>
              </w:rPr>
              <w:t>《坐便器水效限定值及水效等级</w:t>
            </w:r>
          </w:p>
          <w:p>
            <w:pPr>
              <w:jc w:val="left"/>
              <w:rPr>
                <w:rFonts w:ascii="宋体" w:hAnsi="宋体"/>
                <w:color w:val="auto"/>
                <w:w w:val="90"/>
                <w:szCs w:val="21"/>
                <w:highlight w:val="none"/>
              </w:rPr>
            </w:pPr>
            <w:r>
              <w:rPr>
                <w:rFonts w:ascii="宋体" w:hAnsi="宋体"/>
                <w:color w:val="auto"/>
                <w:w w:val="90"/>
                <w:szCs w:val="21"/>
                <w:highlight w:val="none"/>
              </w:rPr>
              <w:t>（GB 25502）</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rFonts w:ascii="宋体" w:hAnsi="宋体"/>
                <w:color w:val="auto"/>
                <w:w w:val="90"/>
                <w:szCs w:val="21"/>
                <w:highlight w:val="none"/>
              </w:rPr>
            </w:pPr>
          </w:p>
        </w:tc>
        <w:tc>
          <w:tcPr>
            <w:tcW w:w="1933" w:type="dxa"/>
            <w:vMerge w:val="continue"/>
            <w:vAlign w:val="center"/>
          </w:tcPr>
          <w:p>
            <w:pPr>
              <w:jc w:val="left"/>
              <w:rPr>
                <w:rFonts w:ascii="宋体" w:hAnsi="宋体"/>
                <w:b/>
                <w:color w:val="auto"/>
                <w:w w:val="90"/>
                <w:szCs w:val="21"/>
                <w:highlight w:val="none"/>
              </w:rPr>
            </w:pPr>
          </w:p>
        </w:tc>
        <w:tc>
          <w:tcPr>
            <w:tcW w:w="2334" w:type="dxa"/>
            <w:vAlign w:val="center"/>
          </w:tcPr>
          <w:p>
            <w:pPr>
              <w:jc w:val="left"/>
              <w:rPr>
                <w:rFonts w:ascii="宋体" w:hAnsi="宋体"/>
                <w:b/>
                <w:color w:val="auto"/>
                <w:w w:val="90"/>
                <w:szCs w:val="21"/>
                <w:highlight w:val="none"/>
              </w:rPr>
            </w:pPr>
            <w:r>
              <w:rPr>
                <w:rFonts w:ascii="宋体" w:hAnsi="宋体"/>
                <w:b/>
                <w:color w:val="auto"/>
                <w:w w:val="90"/>
                <w:szCs w:val="21"/>
                <w:highlight w:val="none"/>
              </w:rPr>
              <w:t>蹲便器</w:t>
            </w:r>
          </w:p>
        </w:tc>
        <w:tc>
          <w:tcPr>
            <w:tcW w:w="1682" w:type="dxa"/>
            <w:vAlign w:val="center"/>
          </w:tcPr>
          <w:p>
            <w:pPr>
              <w:jc w:val="center"/>
              <w:rPr>
                <w:rFonts w:ascii="宋体" w:hAnsi="宋体"/>
                <w:color w:val="auto"/>
                <w:w w:val="90"/>
                <w:szCs w:val="21"/>
                <w:highlight w:val="none"/>
              </w:rPr>
            </w:pPr>
          </w:p>
        </w:tc>
        <w:tc>
          <w:tcPr>
            <w:tcW w:w="3301" w:type="dxa"/>
            <w:vAlign w:val="center"/>
          </w:tcPr>
          <w:p>
            <w:pPr>
              <w:jc w:val="left"/>
              <w:rPr>
                <w:rFonts w:ascii="宋体" w:hAnsi="宋体"/>
                <w:color w:val="auto"/>
                <w:w w:val="90"/>
                <w:szCs w:val="21"/>
                <w:highlight w:val="none"/>
              </w:rPr>
            </w:pPr>
            <w:r>
              <w:rPr>
                <w:rFonts w:ascii="宋体" w:hAnsi="宋体"/>
                <w:color w:val="auto"/>
                <w:w w:val="90"/>
                <w:szCs w:val="21"/>
                <w:highlight w:val="none"/>
              </w:rPr>
              <w:t>《蹲便器用水效率限定值及用水效率等级》（GB 30717）</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rFonts w:ascii="宋体" w:hAnsi="宋体"/>
                <w:color w:val="auto"/>
                <w:w w:val="90"/>
                <w:szCs w:val="21"/>
                <w:highlight w:val="none"/>
              </w:rPr>
            </w:pPr>
          </w:p>
        </w:tc>
        <w:tc>
          <w:tcPr>
            <w:tcW w:w="1933" w:type="dxa"/>
            <w:vMerge w:val="continue"/>
            <w:vAlign w:val="center"/>
          </w:tcPr>
          <w:p>
            <w:pPr>
              <w:jc w:val="left"/>
              <w:rPr>
                <w:rFonts w:ascii="宋体" w:hAnsi="宋体"/>
                <w:b/>
                <w:color w:val="auto"/>
                <w:w w:val="90"/>
                <w:szCs w:val="21"/>
                <w:highlight w:val="none"/>
              </w:rPr>
            </w:pPr>
          </w:p>
        </w:tc>
        <w:tc>
          <w:tcPr>
            <w:tcW w:w="2334" w:type="dxa"/>
            <w:vAlign w:val="center"/>
          </w:tcPr>
          <w:p>
            <w:pPr>
              <w:jc w:val="left"/>
              <w:rPr>
                <w:rFonts w:ascii="宋体" w:hAnsi="宋体"/>
                <w:b/>
                <w:color w:val="auto"/>
                <w:w w:val="90"/>
                <w:szCs w:val="21"/>
                <w:highlight w:val="none"/>
              </w:rPr>
            </w:pPr>
            <w:r>
              <w:rPr>
                <w:rFonts w:ascii="宋体" w:hAnsi="宋体"/>
                <w:b/>
                <w:color w:val="auto"/>
                <w:w w:val="90"/>
                <w:szCs w:val="21"/>
                <w:highlight w:val="none"/>
              </w:rPr>
              <w:t>小便器</w:t>
            </w:r>
          </w:p>
        </w:tc>
        <w:tc>
          <w:tcPr>
            <w:tcW w:w="1682" w:type="dxa"/>
            <w:vAlign w:val="center"/>
          </w:tcPr>
          <w:p>
            <w:pPr>
              <w:jc w:val="center"/>
              <w:rPr>
                <w:rFonts w:ascii="宋体" w:hAnsi="宋体"/>
                <w:color w:val="auto"/>
                <w:w w:val="90"/>
                <w:szCs w:val="21"/>
                <w:highlight w:val="none"/>
              </w:rPr>
            </w:pPr>
          </w:p>
        </w:tc>
        <w:tc>
          <w:tcPr>
            <w:tcW w:w="3301" w:type="dxa"/>
            <w:vAlign w:val="center"/>
          </w:tcPr>
          <w:p>
            <w:pPr>
              <w:jc w:val="left"/>
              <w:rPr>
                <w:rFonts w:ascii="宋体" w:hAnsi="宋体"/>
                <w:color w:val="auto"/>
                <w:w w:val="90"/>
                <w:szCs w:val="21"/>
                <w:highlight w:val="none"/>
              </w:rPr>
            </w:pPr>
            <w:r>
              <w:rPr>
                <w:rFonts w:ascii="宋体" w:hAnsi="宋体"/>
                <w:color w:val="auto"/>
                <w:w w:val="90"/>
                <w:szCs w:val="21"/>
                <w:highlight w:val="none"/>
              </w:rPr>
              <w:t>《小便器用水效率限定值及用水效率等级》（GB 28377）</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Align w:val="center"/>
          </w:tcPr>
          <w:p>
            <w:pPr>
              <w:jc w:val="center"/>
              <w:rPr>
                <w:rFonts w:ascii="宋体" w:hAnsi="宋体"/>
                <w:color w:val="auto"/>
                <w:w w:val="90"/>
                <w:szCs w:val="21"/>
                <w:highlight w:val="none"/>
              </w:rPr>
            </w:pPr>
            <w:r>
              <w:rPr>
                <w:rFonts w:hint="eastAsia" w:ascii="宋体" w:hAnsi="宋体"/>
                <w:color w:val="auto"/>
                <w:w w:val="90"/>
                <w:szCs w:val="21"/>
                <w:highlight w:val="none"/>
              </w:rPr>
              <w:t>10</w:t>
            </w:r>
          </w:p>
        </w:tc>
        <w:tc>
          <w:tcPr>
            <w:tcW w:w="1933" w:type="dxa"/>
            <w:vAlign w:val="center"/>
          </w:tcPr>
          <w:p>
            <w:pPr>
              <w:jc w:val="left"/>
              <w:rPr>
                <w:rFonts w:ascii="宋体" w:hAnsi="宋体"/>
                <w:b/>
                <w:color w:val="auto"/>
                <w:w w:val="90"/>
                <w:szCs w:val="21"/>
                <w:highlight w:val="none"/>
              </w:rPr>
            </w:pPr>
            <w:r>
              <w:rPr>
                <w:rFonts w:hint="eastAsia" w:ascii="宋体" w:hAnsi="宋体" w:cs="宋体"/>
                <w:color w:val="auto"/>
                <w:w w:val="90"/>
                <w:szCs w:val="21"/>
                <w:highlight w:val="none"/>
              </w:rPr>
              <w:t>★</w:t>
            </w:r>
            <w:r>
              <w:rPr>
                <w:rFonts w:ascii="宋体" w:hAnsi="宋体" w:cs="Calibri"/>
                <w:b/>
                <w:color w:val="auto"/>
                <w:w w:val="90"/>
                <w:szCs w:val="21"/>
                <w:highlight w:val="none"/>
              </w:rPr>
              <w:t>A060806</w:t>
            </w:r>
            <w:r>
              <w:rPr>
                <w:rFonts w:ascii="宋体" w:hAnsi="宋体"/>
                <w:b/>
                <w:color w:val="auto"/>
                <w:w w:val="90"/>
                <w:szCs w:val="21"/>
                <w:highlight w:val="none"/>
              </w:rPr>
              <w:t>水嘴</w:t>
            </w:r>
          </w:p>
        </w:tc>
        <w:tc>
          <w:tcPr>
            <w:tcW w:w="2334" w:type="dxa"/>
            <w:vAlign w:val="center"/>
          </w:tcPr>
          <w:p>
            <w:pPr>
              <w:jc w:val="left"/>
              <w:rPr>
                <w:rFonts w:ascii="宋体" w:hAnsi="宋体"/>
                <w:color w:val="auto"/>
                <w:w w:val="90"/>
                <w:szCs w:val="21"/>
                <w:highlight w:val="none"/>
              </w:rPr>
            </w:pPr>
          </w:p>
        </w:tc>
        <w:tc>
          <w:tcPr>
            <w:tcW w:w="1682" w:type="dxa"/>
            <w:vAlign w:val="center"/>
          </w:tcPr>
          <w:p>
            <w:pPr>
              <w:jc w:val="center"/>
              <w:rPr>
                <w:rFonts w:ascii="宋体" w:hAnsi="宋体"/>
                <w:color w:val="auto"/>
                <w:w w:val="90"/>
                <w:szCs w:val="21"/>
                <w:highlight w:val="none"/>
              </w:rPr>
            </w:pPr>
          </w:p>
        </w:tc>
        <w:tc>
          <w:tcPr>
            <w:tcW w:w="3301" w:type="dxa"/>
            <w:vAlign w:val="center"/>
          </w:tcPr>
          <w:p>
            <w:pPr>
              <w:jc w:val="left"/>
              <w:rPr>
                <w:rFonts w:ascii="宋体" w:hAnsi="宋体"/>
                <w:color w:val="auto"/>
                <w:w w:val="90"/>
                <w:szCs w:val="21"/>
                <w:highlight w:val="none"/>
              </w:rPr>
            </w:pPr>
            <w:r>
              <w:rPr>
                <w:rFonts w:ascii="宋体" w:hAnsi="宋体"/>
                <w:color w:val="auto"/>
                <w:w w:val="90"/>
                <w:szCs w:val="21"/>
                <w:highlight w:val="none"/>
              </w:rPr>
              <w:t>《水嘴用水效率限定值及用水效率等级》（GB 25501）</w:t>
            </w:r>
          </w:p>
        </w:tc>
      </w:tr>
    </w:tbl>
    <w:p>
      <w:pPr>
        <w:rPr>
          <w:rFonts w:ascii="宋体" w:hAnsi="宋体" w:cs="宋体"/>
          <w:b/>
          <w:bCs/>
          <w:color w:val="auto"/>
          <w:sz w:val="32"/>
          <w:szCs w:val="32"/>
          <w:highlight w:val="none"/>
        </w:rPr>
      </w:pPr>
    </w:p>
    <w:p>
      <w:pPr>
        <w:pStyle w:val="24"/>
        <w:ind w:firstLine="0"/>
        <w:rPr>
          <w:color w:val="auto"/>
          <w:highlight w:val="none"/>
        </w:rPr>
        <w:sectPr>
          <w:pgSz w:w="11906" w:h="16838"/>
          <w:pgMar w:top="1440" w:right="1080" w:bottom="1440" w:left="1080" w:header="851" w:footer="992" w:gutter="0"/>
          <w:cols w:space="720" w:num="1"/>
          <w:titlePg/>
          <w:docGrid w:linePitch="312" w:charSpace="0"/>
        </w:sect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snapToGrid w:val="0"/>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五、评审标准相应的商务技术资料</w:t>
      </w:r>
    </w:p>
    <w:p>
      <w:pPr>
        <w:snapToGrid w:val="0"/>
        <w:spacing w:line="360" w:lineRule="auto"/>
        <w:jc w:val="left"/>
        <w:rPr>
          <w:rFonts w:ascii="宋体" w:hAnsi="宋体" w:cs="宋体"/>
          <w:b/>
          <w:color w:val="auto"/>
          <w:sz w:val="24"/>
          <w:highlight w:val="none"/>
        </w:rPr>
      </w:pPr>
      <w:r>
        <w:rPr>
          <w:rFonts w:hint="eastAsia" w:ascii="宋体" w:hAnsi="宋体" w:cs="宋体"/>
          <w:b/>
          <w:color w:val="auto"/>
          <w:sz w:val="24"/>
          <w:highlight w:val="none"/>
        </w:rPr>
        <w:t>（按采购文件第四部分评审办法前附表中“响应文件中评审标准相应的商务技术资料目录”提供资料。）</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snapToGrid w:val="0"/>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六、商务技术偏离表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序号</w:t>
            </w:r>
          </w:p>
        </w:tc>
        <w:tc>
          <w:tcPr>
            <w:tcW w:w="3683"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采购文件章节及具体内容</w:t>
            </w:r>
          </w:p>
        </w:tc>
        <w:tc>
          <w:tcPr>
            <w:tcW w:w="3546"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响应文件章节及具体内容</w:t>
            </w:r>
          </w:p>
        </w:tc>
        <w:tc>
          <w:tcPr>
            <w:tcW w:w="1276"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bl>
    <w:p>
      <w:pPr>
        <w:jc w:val="left"/>
        <w:rPr>
          <w:rFonts w:ascii="宋体" w:hAnsi="宋体" w:cs="宋体"/>
          <w:color w:val="auto"/>
          <w:kern w:val="0"/>
          <w:sz w:val="24"/>
          <w:highlight w:val="none"/>
        </w:rPr>
      </w:pPr>
      <w:r>
        <w:rPr>
          <w:rFonts w:hint="eastAsia" w:ascii="宋体" w:hAnsi="宋体" w:cs="宋体"/>
          <w:color w:val="auto"/>
          <w:kern w:val="0"/>
          <w:sz w:val="24"/>
          <w:highlight w:val="none"/>
        </w:rPr>
        <w:t>供应商保证：除商务技术偏离表列出的偏离外，供应商响应采购文件的全部要求</w:t>
      </w:r>
    </w:p>
    <w:p>
      <w:pPr>
        <w:jc w:val="center"/>
        <w:rPr>
          <w:rFonts w:ascii="宋体" w:hAnsi="宋体" w:cs="宋体"/>
          <w:b/>
          <w:color w:val="auto"/>
          <w:kern w:val="0"/>
          <w:sz w:val="32"/>
          <w:szCs w:val="32"/>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ind w:firstLine="1911" w:firstLineChars="595"/>
        <w:rPr>
          <w:rFonts w:ascii="宋体" w:hAnsi="宋体" w:cs="宋体"/>
          <w:b/>
          <w:bCs/>
          <w:color w:val="auto"/>
          <w:sz w:val="32"/>
          <w:szCs w:val="32"/>
          <w:highlight w:val="none"/>
        </w:rPr>
        <w:sectPr>
          <w:footerReference r:id="rId21" w:type="first"/>
          <w:footerReference r:id="rId20" w:type="default"/>
          <w:pgSz w:w="11906" w:h="16838"/>
          <w:pgMar w:top="1440" w:right="1080" w:bottom="1440" w:left="1080" w:header="851" w:footer="992" w:gutter="0"/>
          <w:cols w:space="720" w:num="1"/>
          <w:titlePg/>
          <w:docGrid w:linePitch="312" w:charSpace="0"/>
        </w:sectPr>
      </w:pPr>
    </w:p>
    <w:p>
      <w:pPr>
        <w:snapToGrid w:val="0"/>
        <w:jc w:val="center"/>
        <w:rPr>
          <w:rFonts w:ascii="宋体" w:hAnsi="宋体" w:cs="宋体"/>
          <w:b/>
          <w:color w:val="auto"/>
          <w:kern w:val="0"/>
          <w:sz w:val="32"/>
          <w:szCs w:val="32"/>
          <w:highlight w:val="none"/>
        </w:rPr>
      </w:pPr>
      <w:r>
        <w:rPr>
          <w:rFonts w:hint="eastAsia" w:ascii="宋体" w:hAnsi="宋体" w:cs="宋体"/>
          <w:b/>
          <w:bCs/>
          <w:color w:val="auto"/>
          <w:sz w:val="32"/>
          <w:szCs w:val="32"/>
          <w:highlight w:val="none"/>
        </w:rPr>
        <w:t>七</w:t>
      </w:r>
      <w:r>
        <w:rPr>
          <w:rFonts w:hint="eastAsia" w:ascii="宋体" w:hAnsi="宋体" w:cs="宋体"/>
          <w:b/>
          <w:color w:val="auto"/>
          <w:kern w:val="0"/>
          <w:sz w:val="32"/>
          <w:szCs w:val="32"/>
          <w:highlight w:val="none"/>
        </w:rPr>
        <w:t>、</w:t>
      </w:r>
      <w:r>
        <w:rPr>
          <w:rFonts w:hint="eastAsia" w:ascii="宋体" w:hAnsi="宋体" w:cs="宋体"/>
          <w:b/>
          <w:color w:val="auto"/>
          <w:kern w:val="0"/>
          <w:sz w:val="32"/>
          <w:szCs w:val="32"/>
          <w:highlight w:val="none"/>
          <w:lang w:val="zh-CN"/>
        </w:rPr>
        <w:t>政府采购供应商廉洁自律承诺书</w:t>
      </w:r>
    </w:p>
    <w:p>
      <w:pPr>
        <w:snapToGrid w:val="0"/>
        <w:spacing w:line="360" w:lineRule="auto"/>
        <w:rPr>
          <w:rFonts w:ascii="宋体" w:hAnsi="宋体" w:cs="宋体"/>
          <w:color w:val="auto"/>
          <w:sz w:val="24"/>
          <w:highlight w:val="none"/>
        </w:rPr>
      </w:pP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（采购人）、（采购代理机构）</w:t>
      </w:r>
      <w:r>
        <w:rPr>
          <w:rFonts w:hint="eastAsia" w:ascii="宋体" w:hAnsi="宋体" w:cs="宋体"/>
          <w:color w:val="auto"/>
          <w:kern w:val="0"/>
          <w:sz w:val="24"/>
          <w:highlight w:val="none"/>
          <w:lang w:val="zh-CN"/>
        </w:rPr>
        <w:t>：</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我单位响应你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四、不为项目有关人员及部门出国（境）、旅游等提供方便；</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五、不为项目有关人员个人装修住房、婚丧嫁娶、配偶子女工作安排等提供好处；</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六、严格遵守《中华人民共和国政府采购法》《中华人民共和国招标投标法》《中华人民共和国民法典》等法律法规，诚实守信，合法经营，坚决抵制各种违法违纪行为。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如违反上述承诺，你单位有权立即取消我单位投标、中标或在建项目的建设资格，有权拒绝我单位在一定时期内进入你单位进行项目建设或其他经营活动，并通报市财政局。由此引起的相应损失均由我单位承担。</w:t>
      </w: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leftChars="1" w:right="1120" w:firstLine="4560" w:firstLineChars="19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供应商名称（</w:t>
      </w:r>
      <w:r>
        <w:rPr>
          <w:rFonts w:hint="eastAsia" w:ascii="宋体" w:hAnsi="宋体" w:cs="宋体"/>
          <w:color w:val="auto"/>
          <w:sz w:val="24"/>
          <w:highlight w:val="none"/>
        </w:rPr>
        <w:t>电子签名</w:t>
      </w:r>
      <w:r>
        <w:rPr>
          <w:rFonts w:hint="eastAsia" w:ascii="宋体" w:hAnsi="宋体" w:cs="宋体"/>
          <w:color w:val="auto"/>
          <w:kern w:val="0"/>
          <w:sz w:val="24"/>
          <w:highlight w:val="none"/>
          <w:lang w:val="zh-CN"/>
        </w:rPr>
        <w:t xml:space="preserve">）：                                                                                                                                                                                                               </w:t>
      </w:r>
    </w:p>
    <w:p>
      <w:pPr>
        <w:spacing w:line="360" w:lineRule="auto"/>
        <w:ind w:left="4620" w:leftChars="2200"/>
        <w:rPr>
          <w:rFonts w:ascii="宋体" w:hAnsi="宋体" w:cs="宋体"/>
          <w:color w:val="auto"/>
          <w:sz w:val="24"/>
          <w:highlight w:val="none"/>
        </w:rPr>
      </w:pP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 xml:space="preserve">   年   月   日</w:t>
      </w:r>
    </w:p>
    <w:p>
      <w:pPr>
        <w:spacing w:line="360" w:lineRule="auto"/>
        <w:jc w:val="center"/>
        <w:rPr>
          <w:rFonts w:ascii="宋体" w:hAnsi="宋体" w:cs="宋体"/>
          <w:b/>
          <w:bCs/>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rPr>
          <w:rFonts w:ascii="宋体" w:hAnsi="宋体" w:cs="宋体"/>
          <w:color w:val="auto"/>
          <w:sz w:val="24"/>
          <w:highlight w:val="none"/>
        </w:rPr>
      </w:pPr>
      <w:r>
        <w:rPr>
          <w:rFonts w:hint="eastAsia" w:ascii="宋体" w:hAnsi="宋体" w:cs="宋体"/>
          <w:color w:val="auto"/>
          <w:sz w:val="24"/>
          <w:highlight w:val="none"/>
        </w:rPr>
        <w:br w:type="page"/>
      </w: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八、</w:t>
      </w:r>
      <w:r>
        <w:rPr>
          <w:rFonts w:hint="eastAsia" w:ascii="宋体" w:hAnsi="宋体" w:cs="宋体"/>
          <w:b/>
          <w:color w:val="auto"/>
          <w:kern w:val="0"/>
          <w:sz w:val="32"/>
          <w:szCs w:val="32"/>
          <w:highlight w:val="none"/>
          <w:lang w:val="zh-CN"/>
        </w:rPr>
        <w:t>承诺书</w:t>
      </w:r>
    </w:p>
    <w:p>
      <w:pPr>
        <w:snapToGrid w:val="0"/>
        <w:spacing w:line="360" w:lineRule="auto"/>
        <w:rPr>
          <w:rFonts w:ascii="宋体" w:hAnsi="宋体" w:cs="宋体"/>
          <w:color w:val="auto"/>
          <w:sz w:val="24"/>
          <w:highlight w:val="none"/>
        </w:rPr>
      </w:pP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rPr>
        <w:t>杭州市第七人民医院</w:t>
      </w:r>
      <w:r>
        <w:rPr>
          <w:rFonts w:hint="eastAsia" w:ascii="宋体" w:hAnsi="宋体" w:cs="宋体"/>
          <w:color w:val="auto"/>
          <w:kern w:val="0"/>
          <w:sz w:val="24"/>
          <w:highlight w:val="none"/>
          <w:lang w:val="zh-CN"/>
        </w:rPr>
        <w:t>、浙江豪圣建设项目管理有限公司：</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我单位响应你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项目采购要求参加磋商响应。在这次磋商响应过程中和</w:t>
      </w:r>
      <w:r>
        <w:rPr>
          <w:rFonts w:hint="eastAsia" w:ascii="宋体" w:hAnsi="宋体" w:cs="宋体"/>
          <w:color w:val="auto"/>
          <w:kern w:val="0"/>
          <w:sz w:val="24"/>
          <w:highlight w:val="none"/>
        </w:rPr>
        <w:t>成交</w:t>
      </w:r>
      <w:r>
        <w:rPr>
          <w:rFonts w:hint="eastAsia" w:ascii="宋体" w:hAnsi="宋体" w:cs="宋体"/>
          <w:color w:val="auto"/>
          <w:kern w:val="0"/>
          <w:sz w:val="24"/>
          <w:highlight w:val="none"/>
          <w:lang w:val="zh-CN"/>
        </w:rPr>
        <w:t>后，我们郑重承诺：</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根据财政部《关于政府采购支持绿色建材促进建筑品质提升试点工作的通知财库〔2020〕31号》规定，为落实绿色建材采购要求，我方后续施工所投入使用的建筑材料承诺满足《绿色建筑和绿色建材政府采购基本要求（试行）》等有关规定。</w:t>
      </w: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leftChars="1" w:right="1120" w:firstLine="4560" w:firstLineChars="19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供应商名称（</w:t>
      </w:r>
      <w:r>
        <w:rPr>
          <w:rFonts w:hint="eastAsia" w:ascii="宋体" w:hAnsi="宋体" w:cs="宋体"/>
          <w:color w:val="auto"/>
          <w:sz w:val="24"/>
          <w:highlight w:val="none"/>
        </w:rPr>
        <w:t>电子签名</w:t>
      </w:r>
      <w:r>
        <w:rPr>
          <w:rFonts w:hint="eastAsia" w:ascii="宋体" w:hAnsi="宋体" w:cs="宋体"/>
          <w:color w:val="auto"/>
          <w:kern w:val="0"/>
          <w:sz w:val="24"/>
          <w:highlight w:val="none"/>
          <w:lang w:val="zh-CN"/>
        </w:rPr>
        <w:t>）：</w:t>
      </w:r>
    </w:p>
    <w:p>
      <w:pPr>
        <w:pStyle w:val="24"/>
        <w:ind w:firstLine="4800" w:firstLineChars="2000"/>
        <w:rPr>
          <w:rFonts w:hAnsi="宋体" w:cs="宋体"/>
          <w:color w:val="auto"/>
          <w:highlight w:val="none"/>
        </w:rPr>
      </w:pPr>
      <w:r>
        <w:rPr>
          <w:rFonts w:hint="eastAsia" w:hAnsi="宋体" w:cs="宋体"/>
          <w:color w:val="auto"/>
          <w:kern w:val="0"/>
          <w:highlight w:val="none"/>
        </w:rPr>
        <w:t>日期：   年   月   日</w:t>
      </w:r>
    </w:p>
    <w:p>
      <w:pPr>
        <w:pStyle w:val="24"/>
        <w:rPr>
          <w:rFonts w:hAnsi="宋体" w:cs="宋体"/>
          <w:color w:val="auto"/>
          <w:highlight w:val="none"/>
        </w:rPr>
        <w:sectPr>
          <w:pgSz w:w="11906" w:h="16838"/>
          <w:pgMar w:top="1440" w:right="1080" w:bottom="1440" w:left="1080" w:header="851" w:footer="992" w:gutter="0"/>
          <w:cols w:space="720" w:num="1"/>
          <w:titlePg/>
          <w:docGrid w:linePitch="312" w:charSpace="0"/>
        </w:sectPr>
      </w:pP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报价文件部分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hAnsi="宋体" w:cs="宋体"/>
          <w:b/>
          <w:color w:val="auto"/>
          <w:kern w:val="0"/>
          <w:sz w:val="36"/>
          <w:szCs w:val="36"/>
          <w:highlight w:val="none"/>
        </w:rPr>
      </w:pPr>
    </w:p>
    <w:p>
      <w:pPr>
        <w:numPr>
          <w:ilvl w:val="0"/>
          <w:numId w:val="6"/>
        </w:numPr>
        <w:snapToGrid w:val="0"/>
        <w:spacing w:line="360" w:lineRule="auto"/>
        <w:rPr>
          <w:rFonts w:ascii="宋体" w:hAnsi="宋体" w:cs="宋体"/>
          <w:color w:val="auto"/>
          <w:sz w:val="24"/>
          <w:highlight w:val="none"/>
        </w:rPr>
      </w:pPr>
      <w:r>
        <w:rPr>
          <w:rFonts w:hint="eastAsia" w:ascii="宋体" w:hAnsi="宋体" w:cs="宋体"/>
          <w:color w:val="auto"/>
          <w:sz w:val="24"/>
          <w:highlight w:val="none"/>
        </w:rPr>
        <w:t>报价单…………………………………………………………………………（页码）</w:t>
      </w:r>
    </w:p>
    <w:p>
      <w:pPr>
        <w:spacing w:line="360" w:lineRule="auto"/>
        <w:rPr>
          <w:color w:val="auto"/>
          <w:highlight w:val="none"/>
        </w:rPr>
      </w:pPr>
      <w:r>
        <w:rPr>
          <w:rFonts w:hint="eastAsia" w:ascii="宋体" w:hAnsi="宋体" w:cs="宋体"/>
          <w:color w:val="auto"/>
          <w:sz w:val="24"/>
          <w:highlight w:val="none"/>
        </w:rPr>
        <w:t>（2）</w:t>
      </w:r>
      <w:r>
        <w:rPr>
          <w:rFonts w:hint="eastAsia" w:hAnsi="仿宋_GB2312" w:cs="仿宋_GB2312"/>
          <w:bCs/>
          <w:snapToGrid w:val="0"/>
          <w:color w:val="auto"/>
          <w:sz w:val="24"/>
          <w:highlight w:val="none"/>
        </w:rPr>
        <w:t>报价情况说明</w:t>
      </w:r>
      <w:r>
        <w:rPr>
          <w:rFonts w:hint="eastAsia" w:ascii="宋体" w:hAnsi="宋体" w:cs="宋体"/>
          <w:color w:val="auto"/>
          <w:sz w:val="24"/>
          <w:highlight w:val="none"/>
        </w:rPr>
        <w:t>…………………………………………………………………（页码）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（3）已标价工程量清单……………………………………………………………（页码）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（4）中小企业声明函………………………………………………………………（页码）</w:t>
      </w:r>
    </w:p>
    <w:p>
      <w:pPr>
        <w:pStyle w:val="80"/>
        <w:rPr>
          <w:color w:val="auto"/>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pStyle w:val="693"/>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sectPr>
          <w:footerReference r:id="rId24" w:type="first"/>
          <w:headerReference r:id="rId22" w:type="default"/>
          <w:footerReference r:id="rId23" w:type="default"/>
          <w:pgSz w:w="11906" w:h="16838"/>
          <w:pgMar w:top="1440" w:right="1080" w:bottom="1440" w:left="1080" w:header="851" w:footer="992" w:gutter="0"/>
          <w:cols w:space="720" w:num="1"/>
          <w:titlePg/>
          <w:docGrid w:linePitch="312" w:charSpace="0"/>
        </w:sectPr>
      </w:pPr>
    </w:p>
    <w:p>
      <w:pPr>
        <w:pStyle w:val="693"/>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一、报价单</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（采购人）、（采购代理机构）</w:t>
      </w:r>
      <w:r>
        <w:rPr>
          <w:rFonts w:hint="eastAsia" w:ascii="宋体" w:hAnsi="宋体" w:cs="宋体"/>
          <w:color w:val="auto"/>
          <w:kern w:val="0"/>
          <w:sz w:val="24"/>
          <w:highlight w:val="none"/>
          <w:lang w:val="zh-CN"/>
        </w:rPr>
        <w:t>：</w:t>
      </w:r>
    </w:p>
    <w:p>
      <w:pPr>
        <w:snapToGrid w:val="0"/>
        <w:spacing w:line="360" w:lineRule="auto"/>
        <w:ind w:firstLine="482"/>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按你方采购文件要求，我们，本响应文件签字方，谨此向你方发出要约如下：如你方接受本投标，我方承诺按照如下报价单的价格完成</w:t>
      </w:r>
      <w:r>
        <w:rPr>
          <w:rFonts w:hint="eastAsia" w:ascii="宋体" w:hAnsi="宋体" w:cs="宋体"/>
          <w:color w:val="auto"/>
          <w:sz w:val="24"/>
          <w:highlight w:val="none"/>
        </w:rPr>
        <w:t>（项目名称）</w:t>
      </w:r>
      <w:r>
        <w:rPr>
          <w:rFonts w:hint="eastAsia" w:ascii="宋体" w:hAnsi="宋体" w:cs="宋体"/>
          <w:color w:val="auto"/>
          <w:kern w:val="0"/>
          <w:sz w:val="24"/>
          <w:highlight w:val="none"/>
          <w:lang w:val="zh-CN"/>
        </w:rPr>
        <w:t>【项目编号：</w:t>
      </w:r>
      <w:r>
        <w:rPr>
          <w:rFonts w:hint="eastAsia" w:ascii="宋体" w:hAnsi="宋体" w:cs="宋体"/>
          <w:color w:val="auto"/>
          <w:sz w:val="24"/>
          <w:highlight w:val="none"/>
        </w:rPr>
        <w:t>（采购编号）】的实施</w:t>
      </w:r>
      <w:r>
        <w:rPr>
          <w:rFonts w:hint="eastAsia" w:ascii="宋体" w:hAnsi="宋体" w:cs="宋体"/>
          <w:color w:val="auto"/>
          <w:kern w:val="0"/>
          <w:sz w:val="24"/>
          <w:highlight w:val="none"/>
          <w:lang w:val="zh-CN"/>
        </w:rPr>
        <w:t>。</w:t>
      </w:r>
    </w:p>
    <w:p>
      <w:pPr>
        <w:spacing w:line="360" w:lineRule="auto"/>
        <w:jc w:val="center"/>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报价单(单位均为人民币元)</w:t>
      </w:r>
    </w:p>
    <w:tbl>
      <w:tblPr>
        <w:tblStyle w:val="63"/>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843"/>
        <w:gridCol w:w="3118"/>
        <w:gridCol w:w="2552"/>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1951"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项目名称</w:t>
            </w:r>
          </w:p>
        </w:tc>
        <w:tc>
          <w:tcPr>
            <w:tcW w:w="1843" w:type="dxa"/>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施工范围</w:t>
            </w:r>
          </w:p>
        </w:tc>
        <w:tc>
          <w:tcPr>
            <w:tcW w:w="3118"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施工工期</w:t>
            </w:r>
          </w:p>
        </w:tc>
        <w:tc>
          <w:tcPr>
            <w:tcW w:w="2552"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项目经理</w:t>
            </w:r>
          </w:p>
        </w:tc>
        <w:tc>
          <w:tcPr>
            <w:tcW w:w="1984"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执业证书信息</w:t>
            </w:r>
          </w:p>
        </w:tc>
        <w:tc>
          <w:tcPr>
            <w:tcW w:w="3119" w:type="dxa"/>
            <w:vAlign w:val="center"/>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备注（如果有）</w:t>
            </w:r>
          </w:p>
          <w:p>
            <w:pP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951" w:type="dxa"/>
            <w:vAlign w:val="center"/>
          </w:tcPr>
          <w:p>
            <w:pPr>
              <w:snapToGrid w:val="0"/>
              <w:spacing w:line="360" w:lineRule="auto"/>
              <w:jc w:val="center"/>
              <w:rPr>
                <w:rFonts w:ascii="宋体" w:hAnsi="宋体" w:cs="宋体"/>
                <w:color w:val="auto"/>
                <w:sz w:val="24"/>
                <w:highlight w:val="none"/>
              </w:rPr>
            </w:pPr>
          </w:p>
        </w:tc>
        <w:tc>
          <w:tcPr>
            <w:tcW w:w="1843" w:type="dxa"/>
            <w:vAlign w:val="center"/>
          </w:tcPr>
          <w:p>
            <w:pPr>
              <w:snapToGrid w:val="0"/>
              <w:spacing w:line="360" w:lineRule="auto"/>
              <w:jc w:val="center"/>
              <w:rPr>
                <w:rFonts w:ascii="宋体" w:hAnsi="宋体" w:cs="宋体"/>
                <w:color w:val="auto"/>
                <w:sz w:val="24"/>
                <w:highlight w:val="none"/>
              </w:rPr>
            </w:pPr>
          </w:p>
        </w:tc>
        <w:tc>
          <w:tcPr>
            <w:tcW w:w="3118" w:type="dxa"/>
            <w:vAlign w:val="center"/>
          </w:tcPr>
          <w:p>
            <w:pPr>
              <w:snapToGrid w:val="0"/>
              <w:spacing w:line="360" w:lineRule="auto"/>
              <w:jc w:val="center"/>
              <w:rPr>
                <w:rFonts w:ascii="宋体" w:hAnsi="宋体" w:cs="宋体"/>
                <w:color w:val="auto"/>
                <w:sz w:val="24"/>
                <w:highlight w:val="none"/>
              </w:rPr>
            </w:pPr>
          </w:p>
        </w:tc>
        <w:tc>
          <w:tcPr>
            <w:tcW w:w="2552" w:type="dxa"/>
            <w:vAlign w:val="center"/>
          </w:tcPr>
          <w:p>
            <w:pPr>
              <w:spacing w:line="360" w:lineRule="auto"/>
              <w:jc w:val="center"/>
              <w:rPr>
                <w:rFonts w:ascii="宋体" w:hAnsi="宋体" w:cs="宋体"/>
                <w:color w:val="auto"/>
                <w:sz w:val="24"/>
                <w:highlight w:val="none"/>
              </w:rPr>
            </w:pPr>
          </w:p>
        </w:tc>
        <w:tc>
          <w:tcPr>
            <w:tcW w:w="1984" w:type="dxa"/>
            <w:vAlign w:val="center"/>
          </w:tcPr>
          <w:p>
            <w:pPr>
              <w:spacing w:line="360" w:lineRule="auto"/>
              <w:jc w:val="center"/>
              <w:rPr>
                <w:rFonts w:ascii="宋体" w:hAnsi="宋体" w:cs="宋体"/>
                <w:color w:val="auto"/>
                <w:sz w:val="24"/>
                <w:highlight w:val="none"/>
              </w:rPr>
            </w:pPr>
          </w:p>
        </w:tc>
        <w:tc>
          <w:tcPr>
            <w:tcW w:w="3119"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3"/>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磋商报价（小写）</w:t>
            </w:r>
          </w:p>
        </w:tc>
        <w:tc>
          <w:tcPr>
            <w:tcW w:w="7655" w:type="dxa"/>
            <w:gridSpan w:val="3"/>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3"/>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磋商报价（大写）</w:t>
            </w:r>
          </w:p>
        </w:tc>
        <w:tc>
          <w:tcPr>
            <w:tcW w:w="7655" w:type="dxa"/>
            <w:gridSpan w:val="3"/>
            <w:vAlign w:val="center"/>
          </w:tcPr>
          <w:p>
            <w:pPr>
              <w:spacing w:line="360" w:lineRule="auto"/>
              <w:jc w:val="center"/>
              <w:rPr>
                <w:rFonts w:ascii="宋体" w:hAnsi="宋体" w:cs="宋体"/>
                <w:color w:val="auto"/>
                <w:sz w:val="24"/>
                <w:highlight w:val="none"/>
              </w:rPr>
            </w:pPr>
          </w:p>
        </w:tc>
      </w:tr>
    </w:tbl>
    <w:p>
      <w:pPr>
        <w:snapToGrid w:val="0"/>
        <w:spacing w:line="360" w:lineRule="auto"/>
        <w:ind w:left="480"/>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注：</w:t>
      </w:r>
    </w:p>
    <w:p>
      <w:pPr>
        <w:spacing w:line="360" w:lineRule="auto"/>
        <w:ind w:left="-2" w:leftChars="-1"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1、供应商需按</w:t>
      </w:r>
      <w:r>
        <w:rPr>
          <w:rFonts w:hint="eastAsia" w:ascii="宋体" w:hAnsi="宋体" w:cs="宋体"/>
          <w:color w:val="auto"/>
          <w:kern w:val="0"/>
          <w:sz w:val="24"/>
          <w:highlight w:val="none"/>
          <w:lang w:val="zh-CN"/>
        </w:rPr>
        <w:t>本表格式填写</w:t>
      </w:r>
      <w:r>
        <w:rPr>
          <w:rFonts w:hint="eastAsia" w:ascii="宋体" w:hAnsi="宋体" w:cs="宋体"/>
          <w:b/>
          <w:color w:val="auto"/>
          <w:kern w:val="0"/>
          <w:sz w:val="24"/>
          <w:highlight w:val="none"/>
          <w:lang w:val="zh-CN"/>
        </w:rPr>
        <w:t>，</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响应文件含有采购人不能接受的附加条件，响应文件无效</w:t>
      </w:r>
      <w:r>
        <w:rPr>
          <w:rFonts w:hint="eastAsia" w:ascii="宋体" w:hAnsi="宋体" w:cs="宋体"/>
          <w:b/>
          <w:color w:val="auto"/>
          <w:kern w:val="0"/>
          <w:sz w:val="24"/>
          <w:highlight w:val="none"/>
          <w:lang w:val="zh-CN"/>
        </w:rPr>
        <w:t>；</w:t>
      </w:r>
      <w:r>
        <w:rPr>
          <w:rFonts w:hint="eastAsia" w:ascii="宋体" w:hAnsi="宋体" w:cs="宋体"/>
          <w:color w:val="auto"/>
          <w:kern w:val="0"/>
          <w:sz w:val="24"/>
          <w:highlight w:val="none"/>
          <w:lang w:val="zh-CN"/>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lang w:val="zh-CN"/>
        </w:rPr>
        <w:t>2、有关本项目实施所涉及的一切费用均计入报价。</w:t>
      </w:r>
      <w:r>
        <w:rPr>
          <w:rFonts w:hint="eastAsia" w:ascii="宋体" w:hAnsi="宋体" w:cs="宋体"/>
          <w:color w:val="auto"/>
          <w:kern w:val="0"/>
          <w:sz w:val="24"/>
          <w:highlight w:val="none"/>
        </w:rPr>
        <w:t>采购人不得向供应商索要或者接受供应商给予的赠品、回扣或者与采购无关的其他商品、服务；如供应商承诺提供赠品、回扣、采购预算中本身不包含的其他商品或服务，视作无效承诺，不得因无效承诺对供应商实行差别待遇或者歧视待遇，也不得将其作为中标（成交）条件或者合同签订条件；总价不为零，报价明细表中部分产品、服务单价为零的，视作已包含在总价中。</w:t>
      </w:r>
      <w:r>
        <w:rPr>
          <w:rFonts w:hint="eastAsia" w:ascii="宋体" w:hAnsi="宋体" w:cs="宋体"/>
          <w:b/>
          <w:color w:val="auto"/>
          <w:kern w:val="0"/>
          <w:sz w:val="24"/>
          <w:highlight w:val="none"/>
          <w:lang w:val="zh-CN"/>
        </w:rPr>
        <w:t>采购内容未包含在《报价单》名称栏中，供应商不能作出合理解释的，</w:t>
      </w:r>
      <w:r>
        <w:rPr>
          <w:rFonts w:hint="eastAsia" w:ascii="宋体" w:hAnsi="宋体" w:cs="宋体"/>
          <w:b/>
          <w:color w:val="auto"/>
          <w:kern w:val="0"/>
          <w:sz w:val="24"/>
          <w:highlight w:val="none"/>
        </w:rPr>
        <w:t>视为</w:t>
      </w:r>
      <w:r>
        <w:rPr>
          <w:rFonts w:hint="eastAsia" w:ascii="宋体" w:hAnsi="宋体" w:cs="宋体"/>
          <w:b/>
          <w:color w:val="auto"/>
          <w:sz w:val="24"/>
          <w:highlight w:val="none"/>
        </w:rPr>
        <w:t>响应文件含有采购人不能接受的附加条件的，响应文件无效。</w:t>
      </w:r>
    </w:p>
    <w:p>
      <w:pPr>
        <w:snapToGrid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3、特别提示：采购代理机构将对项目名称和项目编号，成交供应商名称、地址和成交金额、施工范围、施工工期、项目经理、执业证书信息、品牌（如果有）、规格型号、数量、单价等予以公示。</w:t>
      </w:r>
    </w:p>
    <w:p>
      <w:pPr>
        <w:snapToGrid w:val="0"/>
        <w:spacing w:line="360" w:lineRule="auto"/>
        <w:ind w:firstLine="480" w:firstLineChars="200"/>
        <w:jc w:val="left"/>
        <w:rPr>
          <w:rFonts w:ascii="宋体" w:hAnsi="宋体" w:cs="宋体"/>
          <w:color w:val="auto"/>
          <w:kern w:val="0"/>
          <w:sz w:val="24"/>
          <w:highlight w:val="none"/>
          <w:lang w:val="zh-CN"/>
        </w:rPr>
      </w:pPr>
      <w:r>
        <w:rPr>
          <w:rFonts w:ascii="宋体" w:hAnsi="宋体" w:cs="宋体"/>
          <w:color w:val="auto"/>
          <w:kern w:val="0"/>
          <w:sz w:val="24"/>
          <w:szCs w:val="22"/>
          <w:highlight w:val="none"/>
          <w:lang w:val="zh-CN"/>
        </w:rPr>
        <w:t>4</w:t>
      </w:r>
      <w:r>
        <w:rPr>
          <w:rFonts w:hint="eastAsia" w:ascii="宋体" w:hAnsi="宋体" w:cs="宋体"/>
          <w:color w:val="auto"/>
          <w:kern w:val="0"/>
          <w:sz w:val="24"/>
          <w:szCs w:val="22"/>
          <w:highlight w:val="none"/>
          <w:lang w:val="zh-CN"/>
        </w:rPr>
        <w:t>、</w:t>
      </w:r>
      <w:r>
        <w:rPr>
          <w:rFonts w:hint="eastAsia" w:ascii="宋体" w:hAnsi="宋体" w:cs="宋体"/>
          <w:color w:val="auto"/>
          <w:kern w:val="0"/>
          <w:sz w:val="24"/>
          <w:highlight w:val="none"/>
          <w:lang w:val="zh-CN"/>
        </w:rPr>
        <w:t>符合采购文件中列明的可享受中小企业扶持政策的供应商，请填写中小企业声明函。注：供应商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color w:val="auto"/>
          <w:kern w:val="0"/>
          <w:sz w:val="24"/>
          <w:highlight w:val="none"/>
        </w:rPr>
      </w:pPr>
    </w:p>
    <w:p>
      <w:pPr>
        <w:pStyle w:val="693"/>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pPr>
    </w:p>
    <w:p>
      <w:pPr>
        <w:pStyle w:val="693"/>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sectPr>
          <w:pgSz w:w="16838" w:h="11906" w:orient="landscape"/>
          <w:pgMar w:top="1440" w:right="1080" w:bottom="1440" w:left="1080" w:header="851" w:footer="992" w:gutter="0"/>
          <w:cols w:space="720" w:num="1"/>
          <w:titlePg/>
          <w:docGrid w:linePitch="312" w:charSpace="0"/>
        </w:sectPr>
      </w:pPr>
    </w:p>
    <w:p>
      <w:pPr>
        <w:pStyle w:val="693"/>
        <w:keepNext w:val="0"/>
        <w:tabs>
          <w:tab w:val="clear" w:pos="720"/>
        </w:tabs>
        <w:snapToGrid w:val="0"/>
        <w:spacing w:before="120" w:after="120"/>
        <w:outlineLvl w:val="9"/>
        <w:rPr>
          <w:rFonts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二、报价情况说明（如果有）</w:t>
      </w:r>
    </w:p>
    <w:p>
      <w:pPr>
        <w:snapToGrid w:val="0"/>
        <w:spacing w:before="120" w:after="120"/>
        <w:rPr>
          <w:color w:val="auto"/>
          <w:highlight w:val="none"/>
        </w:rPr>
      </w:pPr>
    </w:p>
    <w:p>
      <w:pPr>
        <w:tabs>
          <w:tab w:val="left" w:pos="1313"/>
        </w:tabs>
        <w:snapToGrid w:val="0"/>
        <w:spacing w:before="120" w:after="120"/>
        <w:jc w:val="left"/>
        <w:rPr>
          <w:rFonts w:ascii="宋体" w:hAnsi="宋体" w:cs="宋体"/>
          <w:color w:val="auto"/>
          <w:sz w:val="24"/>
          <w:highlight w:val="none"/>
        </w:rPr>
      </w:pPr>
      <w:r>
        <w:rPr>
          <w:rFonts w:hint="eastAsia" w:ascii="宋体" w:hAnsi="宋体" w:cs="宋体"/>
          <w:color w:val="auto"/>
          <w:sz w:val="24"/>
          <w:highlight w:val="none"/>
        </w:rPr>
        <w:t>（如供应商报价低于项目预算50%的，应当提交本文档，详细阐述不影响产品质量或者诚信履约的具体原因）</w:t>
      </w:r>
    </w:p>
    <w:p>
      <w:pPr>
        <w:pStyle w:val="693"/>
        <w:keepNext w:val="0"/>
        <w:pageBreakBefore w:val="0"/>
        <w:tabs>
          <w:tab w:val="clear" w:pos="720"/>
        </w:tabs>
        <w:snapToGrid w:val="0"/>
        <w:spacing w:before="120" w:after="120"/>
        <w:outlineLvl w:val="9"/>
        <w:rPr>
          <w:rFonts w:ascii="宋体" w:hAnsi="宋体" w:eastAsia="宋体" w:cs="宋体"/>
          <w:color w:val="auto"/>
          <w:kern w:val="2"/>
          <w:sz w:val="32"/>
          <w:szCs w:val="32"/>
          <w:highlight w:val="none"/>
        </w:rPr>
      </w:pPr>
    </w:p>
    <w:p>
      <w:pPr>
        <w:pStyle w:val="693"/>
        <w:keepNext w:val="0"/>
        <w:pageBreakBefore w:val="0"/>
        <w:tabs>
          <w:tab w:val="clear" w:pos="720"/>
        </w:tabs>
        <w:snapToGrid w:val="0"/>
        <w:spacing w:before="120" w:after="120"/>
        <w:outlineLvl w:val="9"/>
        <w:rPr>
          <w:rFonts w:ascii="宋体" w:hAnsi="宋体" w:eastAsia="宋体" w:cs="宋体"/>
          <w:color w:val="auto"/>
          <w:kern w:val="2"/>
          <w:sz w:val="32"/>
          <w:szCs w:val="32"/>
          <w:highlight w:val="none"/>
        </w:rPr>
      </w:pPr>
    </w:p>
    <w:p>
      <w:pPr>
        <w:pStyle w:val="693"/>
        <w:keepNext w:val="0"/>
        <w:pageBreakBefore w:val="0"/>
        <w:tabs>
          <w:tab w:val="clear" w:pos="720"/>
        </w:tabs>
        <w:snapToGrid w:val="0"/>
        <w:spacing w:before="120" w:after="120"/>
        <w:outlineLvl w:val="9"/>
        <w:rPr>
          <w:rFonts w:ascii="宋体" w:hAnsi="宋体" w:eastAsia="宋体" w:cs="宋体"/>
          <w:color w:val="auto"/>
          <w:kern w:val="2"/>
          <w:sz w:val="32"/>
          <w:szCs w:val="32"/>
          <w:highlight w:val="none"/>
        </w:rPr>
      </w:pPr>
    </w:p>
    <w:p>
      <w:pPr>
        <w:pStyle w:val="693"/>
        <w:keepNext w:val="0"/>
        <w:pageBreakBefore w:val="0"/>
        <w:tabs>
          <w:tab w:val="clear" w:pos="720"/>
        </w:tabs>
        <w:snapToGrid w:val="0"/>
        <w:spacing w:before="120" w:after="120"/>
        <w:outlineLvl w:val="9"/>
        <w:rPr>
          <w:rFonts w:ascii="宋体" w:hAnsi="宋体" w:eastAsia="宋体" w:cs="宋体"/>
          <w:color w:val="auto"/>
          <w:kern w:val="2"/>
          <w:sz w:val="32"/>
          <w:szCs w:val="32"/>
          <w:highlight w:val="none"/>
        </w:rPr>
      </w:pPr>
    </w:p>
    <w:p>
      <w:pPr>
        <w:pStyle w:val="693"/>
        <w:keepNext w:val="0"/>
        <w:pageBreakBefore w:val="0"/>
        <w:tabs>
          <w:tab w:val="clear" w:pos="720"/>
        </w:tabs>
        <w:snapToGrid w:val="0"/>
        <w:spacing w:before="120" w:after="120"/>
        <w:outlineLvl w:val="9"/>
        <w:rPr>
          <w:rFonts w:ascii="宋体" w:hAnsi="宋体" w:eastAsia="宋体" w:cs="宋体"/>
          <w:color w:val="auto"/>
          <w:kern w:val="2"/>
          <w:sz w:val="32"/>
          <w:szCs w:val="32"/>
          <w:highlight w:val="none"/>
        </w:rPr>
      </w:pPr>
    </w:p>
    <w:p>
      <w:pPr>
        <w:pStyle w:val="693"/>
        <w:keepNext w:val="0"/>
        <w:tabs>
          <w:tab w:val="clear" w:pos="720"/>
        </w:tabs>
        <w:snapToGrid w:val="0"/>
        <w:spacing w:before="120" w:after="120"/>
        <w:outlineLvl w:val="9"/>
        <w:rPr>
          <w:rFonts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三、已标价工程量清单</w:t>
      </w:r>
    </w:p>
    <w:p>
      <w:pPr>
        <w:pStyle w:val="116"/>
        <w:ind w:firstLine="730"/>
        <w:jc w:val="center"/>
        <w:rPr>
          <w:rFonts w:ascii="宋体" w:hAnsi="宋体" w:eastAsia="宋体"/>
          <w:b/>
          <w:bCs/>
          <w:color w:val="auto"/>
          <w:sz w:val="36"/>
          <w:szCs w:val="36"/>
          <w:highlight w:val="none"/>
        </w:rPr>
      </w:pPr>
      <w:r>
        <w:rPr>
          <w:rFonts w:hint="eastAsia" w:ascii="宋体" w:hAnsi="宋体" w:eastAsia="宋体"/>
          <w:b/>
          <w:bCs/>
          <w:color w:val="auto"/>
          <w:sz w:val="36"/>
          <w:szCs w:val="36"/>
          <w:highlight w:val="none"/>
        </w:rPr>
        <w:t>投标报价</w:t>
      </w:r>
    </w:p>
    <w:p>
      <w:pPr>
        <w:wordWrap w:val="0"/>
        <w:adjustRightInd/>
        <w:spacing w:line="460" w:lineRule="exact"/>
        <w:ind w:firstLine="420" w:firstLineChars="200"/>
        <w:rPr>
          <w:rFonts w:cs="仿宋"/>
          <w:color w:val="auto"/>
          <w:highlight w:val="none"/>
        </w:rPr>
      </w:pPr>
    </w:p>
    <w:p>
      <w:pPr>
        <w:wordWrap w:val="0"/>
        <w:adjustRightInd/>
        <w:spacing w:line="460" w:lineRule="exact"/>
        <w:ind w:firstLine="420" w:firstLineChars="200"/>
        <w:rPr>
          <w:rFonts w:cs="仿宋"/>
          <w:color w:val="auto"/>
          <w:highlight w:val="none"/>
        </w:rPr>
      </w:pPr>
    </w:p>
    <w:p>
      <w:pPr>
        <w:wordWrap w:val="0"/>
        <w:adjustRightInd/>
        <w:ind w:firstLine="562" w:firstLineChars="200"/>
        <w:rPr>
          <w:rFonts w:cs="仿宋"/>
          <w:b/>
          <w:bCs/>
          <w:color w:val="auto"/>
          <w:sz w:val="28"/>
          <w:szCs w:val="28"/>
          <w:highlight w:val="none"/>
        </w:rPr>
      </w:pPr>
      <w:r>
        <w:rPr>
          <w:rFonts w:hint="eastAsia" w:ascii="宋体" w:hAnsi="宋体" w:cs="仿宋"/>
          <w:b/>
          <w:bCs/>
          <w:color w:val="auto"/>
          <w:sz w:val="28"/>
          <w:szCs w:val="28"/>
          <w:highlight w:val="none"/>
        </w:rPr>
        <w:t>招   标  人：</w:t>
      </w:r>
    </w:p>
    <w:p>
      <w:pPr>
        <w:wordWrap w:val="0"/>
        <w:adjustRightInd/>
        <w:ind w:firstLine="562" w:firstLineChars="200"/>
        <w:rPr>
          <w:rFonts w:cs="仿宋"/>
          <w:b/>
          <w:bCs/>
          <w:color w:val="auto"/>
          <w:sz w:val="28"/>
          <w:szCs w:val="28"/>
          <w:highlight w:val="none"/>
        </w:rPr>
      </w:pPr>
    </w:p>
    <w:p>
      <w:pPr>
        <w:wordWrap w:val="0"/>
        <w:adjustRightInd/>
        <w:ind w:firstLine="562" w:firstLineChars="200"/>
        <w:rPr>
          <w:rFonts w:cs="仿宋"/>
          <w:b/>
          <w:bCs/>
          <w:color w:val="auto"/>
          <w:sz w:val="28"/>
          <w:szCs w:val="28"/>
          <w:highlight w:val="none"/>
        </w:rPr>
      </w:pPr>
      <w:r>
        <w:rPr>
          <w:rFonts w:hint="eastAsia" w:ascii="宋体" w:hAnsi="宋体" w:cs="仿宋"/>
          <w:b/>
          <w:bCs/>
          <w:color w:val="auto"/>
          <w:sz w:val="28"/>
          <w:szCs w:val="28"/>
          <w:highlight w:val="none"/>
        </w:rPr>
        <w:t>工 程 名 称：</w:t>
      </w:r>
    </w:p>
    <w:p>
      <w:pPr>
        <w:wordWrap w:val="0"/>
        <w:adjustRightInd/>
        <w:ind w:firstLine="562" w:firstLineChars="200"/>
        <w:rPr>
          <w:rFonts w:cs="仿宋"/>
          <w:b/>
          <w:bCs/>
          <w:color w:val="auto"/>
          <w:sz w:val="28"/>
          <w:szCs w:val="28"/>
          <w:highlight w:val="none"/>
        </w:rPr>
      </w:pPr>
    </w:p>
    <w:p>
      <w:pPr>
        <w:wordWrap w:val="0"/>
        <w:adjustRightInd/>
        <w:ind w:firstLine="562" w:firstLineChars="200"/>
        <w:rPr>
          <w:rFonts w:cs="仿宋"/>
          <w:b/>
          <w:bCs/>
          <w:color w:val="auto"/>
          <w:sz w:val="28"/>
          <w:szCs w:val="28"/>
          <w:highlight w:val="none"/>
        </w:rPr>
      </w:pPr>
      <w:r>
        <w:rPr>
          <w:rFonts w:hint="eastAsia" w:ascii="宋体" w:hAnsi="宋体" w:cs="仿宋"/>
          <w:b/>
          <w:bCs/>
          <w:color w:val="auto"/>
          <w:sz w:val="28"/>
          <w:szCs w:val="28"/>
          <w:highlight w:val="none"/>
        </w:rPr>
        <w:t>投标总价（小写）：</w:t>
      </w:r>
    </w:p>
    <w:p>
      <w:pPr>
        <w:wordWrap w:val="0"/>
        <w:adjustRightInd/>
        <w:ind w:firstLine="562" w:firstLineChars="200"/>
        <w:rPr>
          <w:rFonts w:cs="仿宋"/>
          <w:b/>
          <w:bCs/>
          <w:color w:val="auto"/>
          <w:sz w:val="28"/>
          <w:szCs w:val="28"/>
          <w:highlight w:val="none"/>
        </w:rPr>
      </w:pPr>
    </w:p>
    <w:p>
      <w:pPr>
        <w:wordWrap w:val="0"/>
        <w:adjustRightInd/>
        <w:ind w:firstLine="562" w:firstLineChars="200"/>
        <w:rPr>
          <w:rFonts w:cs="仿宋"/>
          <w:b/>
          <w:bCs/>
          <w:color w:val="auto"/>
          <w:sz w:val="28"/>
          <w:szCs w:val="28"/>
          <w:highlight w:val="none"/>
        </w:rPr>
      </w:pPr>
      <w:r>
        <w:rPr>
          <w:rFonts w:hint="eastAsia" w:ascii="宋体" w:hAnsi="宋体" w:cs="仿宋"/>
          <w:b/>
          <w:bCs/>
          <w:color w:val="auto"/>
          <w:sz w:val="28"/>
          <w:szCs w:val="28"/>
          <w:highlight w:val="none"/>
        </w:rPr>
        <w:t>（大写）：</w:t>
      </w:r>
    </w:p>
    <w:p>
      <w:pPr>
        <w:wordWrap w:val="0"/>
        <w:adjustRightInd/>
        <w:ind w:firstLine="562" w:firstLineChars="200"/>
        <w:rPr>
          <w:rFonts w:cs="仿宋"/>
          <w:b/>
          <w:bCs/>
          <w:color w:val="auto"/>
          <w:sz w:val="28"/>
          <w:szCs w:val="28"/>
          <w:highlight w:val="none"/>
        </w:rPr>
      </w:pPr>
    </w:p>
    <w:p>
      <w:pPr>
        <w:wordWrap w:val="0"/>
        <w:adjustRightInd/>
        <w:ind w:firstLine="562" w:firstLineChars="200"/>
        <w:rPr>
          <w:rFonts w:cs="仿宋"/>
          <w:b/>
          <w:bCs/>
          <w:color w:val="auto"/>
          <w:sz w:val="28"/>
          <w:szCs w:val="28"/>
          <w:highlight w:val="none"/>
        </w:rPr>
      </w:pPr>
      <w:r>
        <w:rPr>
          <w:rFonts w:hint="eastAsia" w:ascii="宋体" w:hAnsi="宋体" w:cs="仿宋"/>
          <w:b/>
          <w:bCs/>
          <w:color w:val="auto"/>
          <w:sz w:val="28"/>
          <w:szCs w:val="28"/>
          <w:highlight w:val="none"/>
        </w:rPr>
        <w:t>投  标  人：（单位盖章）</w:t>
      </w:r>
    </w:p>
    <w:p>
      <w:pPr>
        <w:wordWrap w:val="0"/>
        <w:adjustRightInd/>
        <w:ind w:firstLine="562" w:firstLineChars="200"/>
        <w:rPr>
          <w:rFonts w:cs="仿宋"/>
          <w:b/>
          <w:bCs/>
          <w:color w:val="auto"/>
          <w:sz w:val="28"/>
          <w:szCs w:val="28"/>
          <w:highlight w:val="none"/>
        </w:rPr>
      </w:pPr>
    </w:p>
    <w:p>
      <w:pPr>
        <w:wordWrap w:val="0"/>
        <w:adjustRightInd/>
        <w:ind w:firstLine="562" w:firstLineChars="200"/>
        <w:rPr>
          <w:rFonts w:cs="仿宋"/>
          <w:b/>
          <w:bCs/>
          <w:color w:val="auto"/>
          <w:sz w:val="28"/>
          <w:szCs w:val="28"/>
          <w:highlight w:val="none"/>
        </w:rPr>
      </w:pPr>
      <w:r>
        <w:rPr>
          <w:rFonts w:hint="eastAsia" w:ascii="宋体" w:hAnsi="宋体" w:cs="仿宋"/>
          <w:b/>
          <w:bCs/>
          <w:color w:val="auto"/>
          <w:sz w:val="28"/>
          <w:szCs w:val="28"/>
          <w:highlight w:val="none"/>
        </w:rPr>
        <w:t>法定代表人或其授权人：（签字或盖章）</w:t>
      </w:r>
    </w:p>
    <w:p>
      <w:pPr>
        <w:wordWrap w:val="0"/>
        <w:adjustRightInd/>
        <w:ind w:firstLine="562" w:firstLineChars="200"/>
        <w:rPr>
          <w:rFonts w:cs="仿宋"/>
          <w:b/>
          <w:bCs/>
          <w:color w:val="auto"/>
          <w:sz w:val="28"/>
          <w:szCs w:val="28"/>
          <w:highlight w:val="none"/>
        </w:rPr>
      </w:pPr>
    </w:p>
    <w:p>
      <w:pPr>
        <w:wordWrap w:val="0"/>
        <w:adjustRightInd/>
        <w:ind w:firstLine="562" w:firstLineChars="200"/>
        <w:rPr>
          <w:rFonts w:cs="仿宋"/>
          <w:b/>
          <w:bCs/>
          <w:color w:val="auto"/>
          <w:sz w:val="28"/>
          <w:szCs w:val="28"/>
          <w:highlight w:val="none"/>
        </w:rPr>
      </w:pPr>
    </w:p>
    <w:p>
      <w:pPr>
        <w:wordWrap w:val="0"/>
        <w:adjustRightInd/>
        <w:ind w:firstLine="562" w:firstLineChars="200"/>
        <w:rPr>
          <w:rFonts w:cs="仿宋"/>
          <w:b/>
          <w:bCs/>
          <w:color w:val="auto"/>
          <w:sz w:val="28"/>
          <w:szCs w:val="28"/>
          <w:highlight w:val="none"/>
        </w:rPr>
      </w:pPr>
      <w:r>
        <w:rPr>
          <w:rFonts w:hint="eastAsia" w:ascii="宋体" w:hAnsi="宋体" w:cs="仿宋"/>
          <w:b/>
          <w:bCs/>
          <w:color w:val="auto"/>
          <w:sz w:val="28"/>
          <w:szCs w:val="28"/>
          <w:highlight w:val="none"/>
        </w:rPr>
        <w:t>日期：年月日</w:t>
      </w:r>
    </w:p>
    <w:p>
      <w:pPr>
        <w:wordWrap w:val="0"/>
        <w:adjustRightInd/>
        <w:ind w:firstLine="562" w:firstLineChars="200"/>
        <w:rPr>
          <w:rFonts w:cs="仿宋"/>
          <w:b/>
          <w:bCs/>
          <w:color w:val="auto"/>
          <w:sz w:val="28"/>
          <w:szCs w:val="28"/>
          <w:highlight w:val="none"/>
        </w:rPr>
      </w:pPr>
    </w:p>
    <w:p>
      <w:pPr>
        <w:wordWrap w:val="0"/>
        <w:adjustRightInd/>
        <w:spacing w:line="460" w:lineRule="exact"/>
        <w:ind w:firstLine="420" w:firstLineChars="200"/>
        <w:rPr>
          <w:rFonts w:cs="仿宋"/>
          <w:color w:val="auto"/>
          <w:highlight w:val="none"/>
        </w:rPr>
      </w:pPr>
    </w:p>
    <w:p>
      <w:pPr>
        <w:wordWrap w:val="0"/>
        <w:jc w:val="center"/>
        <w:outlineLvl w:val="4"/>
        <w:rPr>
          <w:rFonts w:cs="仿宋"/>
          <w:b/>
          <w:bCs/>
          <w:color w:val="auto"/>
          <w:sz w:val="32"/>
          <w:szCs w:val="28"/>
          <w:highlight w:val="none"/>
        </w:rPr>
      </w:pPr>
      <w:r>
        <w:rPr>
          <w:rFonts w:hint="eastAsia" w:ascii="宋体" w:hAnsi="宋体" w:cs="仿宋"/>
          <w:b/>
          <w:bCs/>
          <w:color w:val="auto"/>
          <w:sz w:val="32"/>
          <w:szCs w:val="28"/>
          <w:highlight w:val="none"/>
        </w:rPr>
        <w:br w:type="page"/>
      </w:r>
      <w:r>
        <w:rPr>
          <w:rFonts w:hint="eastAsia" w:ascii="宋体" w:hAnsi="宋体" w:cs="仿宋"/>
          <w:b/>
          <w:bCs/>
          <w:color w:val="auto"/>
          <w:sz w:val="32"/>
          <w:szCs w:val="28"/>
          <w:highlight w:val="none"/>
        </w:rPr>
        <w:t>工程量清单报价说明</w:t>
      </w:r>
    </w:p>
    <w:p>
      <w:pPr>
        <w:wordWrap w:val="0"/>
        <w:adjustRightInd/>
        <w:spacing w:line="460" w:lineRule="exact"/>
        <w:ind w:firstLine="420" w:firstLineChars="200"/>
        <w:rPr>
          <w:rFonts w:cs="仿宋"/>
          <w:color w:val="auto"/>
          <w:highlight w:val="none"/>
        </w:rPr>
      </w:pPr>
      <w:r>
        <w:rPr>
          <w:rFonts w:hint="eastAsia" w:ascii="宋体" w:hAnsi="宋体" w:cs="仿宋"/>
          <w:color w:val="auto"/>
          <w:highlight w:val="none"/>
        </w:rPr>
        <w:t>工程名称：                                                  第  页 共  页</w:t>
      </w:r>
    </w:p>
    <w:tbl>
      <w:tblPr>
        <w:tblStyle w:val="63"/>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0" w:hRule="atLeast"/>
          <w:jc w:val="center"/>
        </w:trPr>
        <w:tc>
          <w:tcPr>
            <w:tcW w:w="9286"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ind w:firstLine="420" w:firstLineChars="200"/>
              <w:rPr>
                <w:rFonts w:cs="仿宋"/>
                <w:color w:val="auto"/>
                <w:highlight w:val="none"/>
              </w:rPr>
            </w:pPr>
          </w:p>
        </w:tc>
      </w:tr>
    </w:tbl>
    <w:p>
      <w:pPr>
        <w:wordWrap w:val="0"/>
        <w:adjustRightInd/>
        <w:spacing w:line="460" w:lineRule="exact"/>
        <w:ind w:firstLine="420" w:firstLineChars="200"/>
        <w:rPr>
          <w:rFonts w:cs="仿宋"/>
          <w:color w:val="auto"/>
          <w:highlight w:val="none"/>
        </w:rPr>
      </w:pPr>
      <w:r>
        <w:rPr>
          <w:rFonts w:hint="eastAsia" w:ascii="宋体" w:hAnsi="宋体" w:cs="仿宋"/>
          <w:color w:val="auto"/>
          <w:highlight w:val="none"/>
        </w:rPr>
        <w:t xml:space="preserve">投标人：（ 盖章）               法定代表人或委托代理人：（盖章或签字）  </w:t>
      </w:r>
    </w:p>
    <w:p>
      <w:pPr>
        <w:wordWrap w:val="0"/>
        <w:jc w:val="center"/>
        <w:outlineLvl w:val="4"/>
        <w:rPr>
          <w:rFonts w:cs="仿宋"/>
          <w:b/>
          <w:bCs/>
          <w:color w:val="auto"/>
          <w:sz w:val="32"/>
          <w:szCs w:val="28"/>
          <w:highlight w:val="none"/>
        </w:rPr>
      </w:pPr>
      <w:r>
        <w:rPr>
          <w:rFonts w:hint="eastAsia" w:ascii="宋体" w:hAnsi="宋体" w:cs="仿宋"/>
          <w:b/>
          <w:bCs/>
          <w:color w:val="auto"/>
          <w:sz w:val="32"/>
          <w:szCs w:val="28"/>
          <w:highlight w:val="none"/>
        </w:rPr>
        <w:br w:type="page"/>
      </w:r>
      <w:r>
        <w:rPr>
          <w:rFonts w:hint="eastAsia" w:ascii="宋体" w:hAnsi="宋体" w:cs="仿宋"/>
          <w:b/>
          <w:bCs/>
          <w:color w:val="auto"/>
          <w:sz w:val="32"/>
          <w:szCs w:val="28"/>
          <w:highlight w:val="none"/>
        </w:rPr>
        <w:t>表1-1-1  工程项目报价汇总表</w:t>
      </w:r>
    </w:p>
    <w:p>
      <w:pPr>
        <w:wordWrap w:val="0"/>
        <w:adjustRightInd/>
        <w:spacing w:line="360" w:lineRule="auto"/>
        <w:rPr>
          <w:rFonts w:cs="仿宋"/>
          <w:color w:val="auto"/>
          <w:highlight w:val="none"/>
        </w:rPr>
      </w:pPr>
      <w:r>
        <w:rPr>
          <w:rFonts w:hint="eastAsia" w:ascii="宋体" w:hAnsi="宋体" w:cs="仿宋"/>
          <w:color w:val="auto"/>
          <w:highlight w:val="none"/>
        </w:rPr>
        <w:t>工程名称：</w:t>
      </w:r>
    </w:p>
    <w:tbl>
      <w:tblPr>
        <w:tblStyle w:val="63"/>
        <w:tblW w:w="93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6300"/>
        <w:gridCol w:w="1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56"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360" w:lineRule="auto"/>
              <w:jc w:val="center"/>
              <w:rPr>
                <w:rFonts w:cs="仿宋"/>
                <w:color w:val="auto"/>
                <w:highlight w:val="none"/>
              </w:rPr>
            </w:pPr>
            <w:r>
              <w:rPr>
                <w:rFonts w:hint="eastAsia" w:ascii="宋体" w:hAnsi="宋体" w:cs="仿宋"/>
                <w:color w:val="auto"/>
                <w:highlight w:val="none"/>
              </w:rPr>
              <w:t>序号</w:t>
            </w:r>
          </w:p>
        </w:tc>
        <w:tc>
          <w:tcPr>
            <w:tcW w:w="630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360" w:lineRule="auto"/>
              <w:jc w:val="center"/>
              <w:rPr>
                <w:rFonts w:cs="仿宋"/>
                <w:color w:val="auto"/>
                <w:highlight w:val="none"/>
              </w:rPr>
            </w:pPr>
            <w:r>
              <w:rPr>
                <w:rFonts w:hint="eastAsia" w:ascii="宋体" w:hAnsi="宋体" w:cs="仿宋"/>
                <w:color w:val="auto"/>
                <w:highlight w:val="none"/>
              </w:rPr>
              <w:t>内容</w:t>
            </w:r>
          </w:p>
        </w:tc>
        <w:tc>
          <w:tcPr>
            <w:tcW w:w="1978"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360" w:lineRule="auto"/>
              <w:jc w:val="center"/>
              <w:rPr>
                <w:rFonts w:cs="仿宋"/>
                <w:color w:val="auto"/>
                <w:highlight w:val="none"/>
              </w:rPr>
            </w:pPr>
            <w:r>
              <w:rPr>
                <w:rFonts w:hint="eastAsia" w:ascii="宋体" w:hAnsi="宋体" w:cs="仿宋"/>
                <w:color w:val="auto"/>
                <w:highlight w:val="none"/>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56"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360" w:lineRule="auto"/>
              <w:jc w:val="center"/>
              <w:rPr>
                <w:rFonts w:cs="仿宋"/>
                <w:color w:val="auto"/>
                <w:highlight w:val="none"/>
              </w:rPr>
            </w:pPr>
            <w:r>
              <w:rPr>
                <w:rFonts w:hint="eastAsia" w:ascii="宋体" w:hAnsi="宋体" w:cs="仿宋"/>
                <w:color w:val="auto"/>
                <w:highlight w:val="none"/>
              </w:rPr>
              <w:t>一</w:t>
            </w:r>
          </w:p>
        </w:tc>
        <w:tc>
          <w:tcPr>
            <w:tcW w:w="6300" w:type="dxa"/>
            <w:tcBorders>
              <w:top w:val="single" w:color="auto" w:sz="4" w:space="0"/>
              <w:left w:val="single" w:color="auto" w:sz="4" w:space="0"/>
              <w:bottom w:val="single" w:color="auto" w:sz="4" w:space="0"/>
              <w:right w:val="single" w:color="auto" w:sz="4" w:space="0"/>
            </w:tcBorders>
            <w:noWrap/>
          </w:tcPr>
          <w:p>
            <w:pPr>
              <w:wordWrap w:val="0"/>
              <w:adjustRightInd/>
              <w:spacing w:line="360" w:lineRule="auto"/>
              <w:rPr>
                <w:rFonts w:cs="仿宋"/>
                <w:color w:val="auto"/>
                <w:highlight w:val="none"/>
              </w:rPr>
            </w:pPr>
            <w:r>
              <w:rPr>
                <w:rFonts w:hint="eastAsia" w:ascii="宋体" w:hAnsi="宋体" w:cs="仿宋"/>
                <w:color w:val="auto"/>
                <w:highlight w:val="none"/>
              </w:rPr>
              <w:t>单位工程费合计</w:t>
            </w:r>
          </w:p>
        </w:tc>
        <w:tc>
          <w:tcPr>
            <w:tcW w:w="1978" w:type="dxa"/>
            <w:tcBorders>
              <w:top w:val="single" w:color="auto" w:sz="4" w:space="0"/>
              <w:left w:val="single" w:color="auto" w:sz="4" w:space="0"/>
              <w:bottom w:val="single" w:color="auto" w:sz="4" w:space="0"/>
              <w:right w:val="single" w:color="auto" w:sz="4" w:space="0"/>
            </w:tcBorders>
            <w:noWrap/>
          </w:tcPr>
          <w:p>
            <w:pPr>
              <w:wordWrap w:val="0"/>
              <w:adjustRightInd/>
              <w:spacing w:line="360" w:lineRule="auto"/>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56"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360" w:lineRule="auto"/>
              <w:jc w:val="center"/>
              <w:rPr>
                <w:rFonts w:cs="仿宋"/>
                <w:color w:val="auto"/>
                <w:highlight w:val="none"/>
              </w:rPr>
            </w:pPr>
            <w:r>
              <w:rPr>
                <w:rFonts w:hint="eastAsia" w:ascii="宋体" w:hAnsi="宋体" w:cs="仿宋"/>
                <w:color w:val="auto"/>
                <w:highlight w:val="none"/>
              </w:rPr>
              <w:t>1</w:t>
            </w:r>
          </w:p>
        </w:tc>
        <w:tc>
          <w:tcPr>
            <w:tcW w:w="6300" w:type="dxa"/>
            <w:tcBorders>
              <w:top w:val="single" w:color="auto" w:sz="4" w:space="0"/>
              <w:left w:val="single" w:color="auto" w:sz="4" w:space="0"/>
              <w:bottom w:val="single" w:color="auto" w:sz="4" w:space="0"/>
              <w:right w:val="single" w:color="auto" w:sz="4" w:space="0"/>
            </w:tcBorders>
            <w:noWrap/>
          </w:tcPr>
          <w:p>
            <w:pPr>
              <w:wordWrap w:val="0"/>
              <w:adjustRightInd/>
              <w:spacing w:line="360" w:lineRule="auto"/>
              <w:rPr>
                <w:rFonts w:cs="仿宋"/>
                <w:color w:val="auto"/>
                <w:highlight w:val="none"/>
              </w:rPr>
            </w:pPr>
            <w:r>
              <w:rPr>
                <w:rFonts w:hint="eastAsia" w:ascii="宋体" w:hAnsi="宋体" w:cs="仿宋"/>
                <w:color w:val="auto"/>
                <w:highlight w:val="none"/>
              </w:rPr>
              <w:t>（单位工程1，如1号楼）</w:t>
            </w:r>
          </w:p>
        </w:tc>
        <w:tc>
          <w:tcPr>
            <w:tcW w:w="1978" w:type="dxa"/>
            <w:tcBorders>
              <w:top w:val="single" w:color="auto" w:sz="4" w:space="0"/>
              <w:left w:val="single" w:color="auto" w:sz="4" w:space="0"/>
              <w:bottom w:val="single" w:color="auto" w:sz="4" w:space="0"/>
              <w:right w:val="single" w:color="auto" w:sz="4" w:space="0"/>
            </w:tcBorders>
            <w:noWrap/>
          </w:tcPr>
          <w:p>
            <w:pPr>
              <w:wordWrap w:val="0"/>
              <w:adjustRightInd/>
              <w:spacing w:line="360" w:lineRule="auto"/>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56"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360" w:lineRule="auto"/>
              <w:jc w:val="center"/>
              <w:rPr>
                <w:rFonts w:cs="仿宋"/>
                <w:color w:val="auto"/>
                <w:highlight w:val="none"/>
              </w:rPr>
            </w:pPr>
            <w:r>
              <w:rPr>
                <w:rFonts w:hint="eastAsia" w:ascii="宋体" w:hAnsi="宋体" w:cs="仿宋"/>
                <w:color w:val="auto"/>
                <w:highlight w:val="none"/>
              </w:rPr>
              <w:t>2</w:t>
            </w:r>
          </w:p>
        </w:tc>
        <w:tc>
          <w:tcPr>
            <w:tcW w:w="6300" w:type="dxa"/>
            <w:tcBorders>
              <w:top w:val="single" w:color="auto" w:sz="4" w:space="0"/>
              <w:left w:val="single" w:color="auto" w:sz="4" w:space="0"/>
              <w:bottom w:val="single" w:color="auto" w:sz="4" w:space="0"/>
              <w:right w:val="single" w:color="auto" w:sz="4" w:space="0"/>
            </w:tcBorders>
            <w:noWrap/>
          </w:tcPr>
          <w:p>
            <w:pPr>
              <w:wordWrap w:val="0"/>
              <w:adjustRightInd/>
              <w:spacing w:line="360" w:lineRule="auto"/>
              <w:rPr>
                <w:rFonts w:cs="仿宋"/>
                <w:color w:val="auto"/>
                <w:highlight w:val="none"/>
              </w:rPr>
            </w:pPr>
            <w:r>
              <w:rPr>
                <w:rFonts w:hint="eastAsia" w:ascii="宋体" w:hAnsi="宋体" w:cs="仿宋"/>
                <w:color w:val="auto"/>
                <w:highlight w:val="none"/>
              </w:rPr>
              <w:t>（单位工程2）</w:t>
            </w:r>
          </w:p>
        </w:tc>
        <w:tc>
          <w:tcPr>
            <w:tcW w:w="1978" w:type="dxa"/>
            <w:tcBorders>
              <w:top w:val="single" w:color="auto" w:sz="4" w:space="0"/>
              <w:left w:val="single" w:color="auto" w:sz="4" w:space="0"/>
              <w:bottom w:val="single" w:color="auto" w:sz="4" w:space="0"/>
              <w:right w:val="single" w:color="auto" w:sz="4" w:space="0"/>
            </w:tcBorders>
            <w:noWrap/>
          </w:tcPr>
          <w:p>
            <w:pPr>
              <w:wordWrap w:val="0"/>
              <w:adjustRightInd/>
              <w:spacing w:line="360" w:lineRule="auto"/>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56"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360" w:lineRule="auto"/>
              <w:jc w:val="center"/>
              <w:rPr>
                <w:rFonts w:cs="仿宋"/>
                <w:color w:val="auto"/>
                <w:highlight w:val="none"/>
              </w:rPr>
            </w:pPr>
          </w:p>
        </w:tc>
        <w:tc>
          <w:tcPr>
            <w:tcW w:w="6300" w:type="dxa"/>
            <w:tcBorders>
              <w:top w:val="single" w:color="auto" w:sz="4" w:space="0"/>
              <w:left w:val="single" w:color="auto" w:sz="4" w:space="0"/>
              <w:bottom w:val="single" w:color="auto" w:sz="4" w:space="0"/>
              <w:right w:val="single" w:color="auto" w:sz="4" w:space="0"/>
            </w:tcBorders>
            <w:noWrap/>
          </w:tcPr>
          <w:p>
            <w:pPr>
              <w:wordWrap w:val="0"/>
              <w:adjustRightInd/>
              <w:spacing w:line="360" w:lineRule="auto"/>
              <w:rPr>
                <w:rFonts w:cs="仿宋"/>
                <w:color w:val="auto"/>
                <w:highlight w:val="none"/>
              </w:rPr>
            </w:pPr>
          </w:p>
        </w:tc>
        <w:tc>
          <w:tcPr>
            <w:tcW w:w="1978" w:type="dxa"/>
            <w:tcBorders>
              <w:top w:val="single" w:color="auto" w:sz="4" w:space="0"/>
              <w:left w:val="single" w:color="auto" w:sz="4" w:space="0"/>
              <w:bottom w:val="single" w:color="auto" w:sz="4" w:space="0"/>
              <w:right w:val="single" w:color="auto" w:sz="4" w:space="0"/>
            </w:tcBorders>
            <w:noWrap/>
          </w:tcPr>
          <w:p>
            <w:pPr>
              <w:wordWrap w:val="0"/>
              <w:adjustRightInd/>
              <w:spacing w:line="360" w:lineRule="auto"/>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56"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360" w:lineRule="auto"/>
              <w:jc w:val="center"/>
              <w:rPr>
                <w:rFonts w:cs="仿宋"/>
                <w:color w:val="auto"/>
                <w:highlight w:val="none"/>
              </w:rPr>
            </w:pPr>
          </w:p>
        </w:tc>
        <w:tc>
          <w:tcPr>
            <w:tcW w:w="6300" w:type="dxa"/>
            <w:tcBorders>
              <w:top w:val="single" w:color="auto" w:sz="4" w:space="0"/>
              <w:left w:val="single" w:color="auto" w:sz="4" w:space="0"/>
              <w:bottom w:val="single" w:color="auto" w:sz="4" w:space="0"/>
              <w:right w:val="single" w:color="auto" w:sz="4" w:space="0"/>
            </w:tcBorders>
            <w:noWrap/>
          </w:tcPr>
          <w:p>
            <w:pPr>
              <w:wordWrap w:val="0"/>
              <w:adjustRightInd/>
              <w:spacing w:line="360" w:lineRule="auto"/>
              <w:rPr>
                <w:rFonts w:cs="仿宋"/>
                <w:color w:val="auto"/>
                <w:highlight w:val="none"/>
              </w:rPr>
            </w:pPr>
          </w:p>
        </w:tc>
        <w:tc>
          <w:tcPr>
            <w:tcW w:w="1978" w:type="dxa"/>
            <w:tcBorders>
              <w:top w:val="single" w:color="auto" w:sz="4" w:space="0"/>
              <w:left w:val="single" w:color="auto" w:sz="4" w:space="0"/>
              <w:bottom w:val="single" w:color="auto" w:sz="4" w:space="0"/>
              <w:right w:val="single" w:color="auto" w:sz="4" w:space="0"/>
            </w:tcBorders>
            <w:noWrap/>
          </w:tcPr>
          <w:p>
            <w:pPr>
              <w:wordWrap w:val="0"/>
              <w:adjustRightInd/>
              <w:spacing w:line="360" w:lineRule="auto"/>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56"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360" w:lineRule="auto"/>
              <w:jc w:val="center"/>
              <w:rPr>
                <w:rFonts w:cs="仿宋"/>
                <w:color w:val="auto"/>
                <w:highlight w:val="none"/>
              </w:rPr>
            </w:pPr>
            <w:r>
              <w:rPr>
                <w:rFonts w:hint="eastAsia" w:ascii="宋体" w:hAnsi="宋体" w:cs="仿宋"/>
                <w:color w:val="auto"/>
                <w:highlight w:val="none"/>
              </w:rPr>
              <w:t>二</w:t>
            </w:r>
          </w:p>
        </w:tc>
        <w:tc>
          <w:tcPr>
            <w:tcW w:w="6300" w:type="dxa"/>
            <w:tcBorders>
              <w:top w:val="single" w:color="auto" w:sz="4" w:space="0"/>
              <w:left w:val="single" w:color="auto" w:sz="4" w:space="0"/>
              <w:bottom w:val="single" w:color="auto" w:sz="4" w:space="0"/>
              <w:right w:val="single" w:color="auto" w:sz="4" w:space="0"/>
            </w:tcBorders>
            <w:noWrap/>
          </w:tcPr>
          <w:p>
            <w:pPr>
              <w:wordWrap w:val="0"/>
              <w:adjustRightInd/>
              <w:spacing w:line="360" w:lineRule="auto"/>
              <w:rPr>
                <w:rFonts w:cs="仿宋"/>
                <w:color w:val="auto"/>
                <w:highlight w:val="none"/>
              </w:rPr>
            </w:pPr>
            <w:r>
              <w:rPr>
                <w:rFonts w:hint="eastAsia" w:ascii="宋体" w:hAnsi="宋体" w:cs="仿宋"/>
                <w:color w:val="auto"/>
                <w:highlight w:val="none"/>
              </w:rPr>
              <w:t>未纳入单位工程费的其他费用[（一）+（二）+（三）+（四）]</w:t>
            </w:r>
          </w:p>
        </w:tc>
        <w:tc>
          <w:tcPr>
            <w:tcW w:w="1978" w:type="dxa"/>
            <w:tcBorders>
              <w:top w:val="single" w:color="auto" w:sz="4" w:space="0"/>
              <w:left w:val="single" w:color="auto" w:sz="4" w:space="0"/>
              <w:bottom w:val="single" w:color="auto" w:sz="4" w:space="0"/>
              <w:right w:val="single" w:color="auto" w:sz="4" w:space="0"/>
            </w:tcBorders>
            <w:noWrap/>
          </w:tcPr>
          <w:p>
            <w:pPr>
              <w:wordWrap w:val="0"/>
              <w:adjustRightInd/>
              <w:spacing w:line="360" w:lineRule="auto"/>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56"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360" w:lineRule="auto"/>
              <w:jc w:val="center"/>
              <w:rPr>
                <w:rFonts w:cs="仿宋"/>
                <w:color w:val="auto"/>
                <w:highlight w:val="none"/>
              </w:rPr>
            </w:pPr>
            <w:r>
              <w:rPr>
                <w:rFonts w:hint="eastAsia" w:ascii="宋体" w:hAnsi="宋体" w:cs="仿宋"/>
                <w:color w:val="auto"/>
                <w:highlight w:val="none"/>
              </w:rPr>
              <w:t>（一）</w:t>
            </w:r>
          </w:p>
        </w:tc>
        <w:tc>
          <w:tcPr>
            <w:tcW w:w="630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360" w:lineRule="auto"/>
              <w:rPr>
                <w:rFonts w:cs="仿宋"/>
                <w:color w:val="auto"/>
                <w:highlight w:val="none"/>
              </w:rPr>
            </w:pPr>
            <w:r>
              <w:rPr>
                <w:rFonts w:hint="eastAsia" w:ascii="宋体" w:hAnsi="宋体" w:cs="仿宋"/>
                <w:color w:val="auto"/>
                <w:highlight w:val="none"/>
              </w:rPr>
              <w:t>整体措施项目清单（1+2）</w:t>
            </w:r>
          </w:p>
        </w:tc>
        <w:tc>
          <w:tcPr>
            <w:tcW w:w="1978" w:type="dxa"/>
            <w:tcBorders>
              <w:top w:val="single" w:color="auto" w:sz="4" w:space="0"/>
              <w:left w:val="single" w:color="auto" w:sz="4" w:space="0"/>
              <w:bottom w:val="single" w:color="auto" w:sz="4" w:space="0"/>
              <w:right w:val="single" w:color="auto" w:sz="4" w:space="0"/>
            </w:tcBorders>
            <w:noWrap/>
          </w:tcPr>
          <w:p>
            <w:pPr>
              <w:wordWrap w:val="0"/>
              <w:adjustRightInd/>
              <w:spacing w:line="360" w:lineRule="auto"/>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56"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360" w:lineRule="auto"/>
              <w:jc w:val="center"/>
              <w:rPr>
                <w:rFonts w:cs="仿宋"/>
                <w:color w:val="auto"/>
                <w:highlight w:val="none"/>
              </w:rPr>
            </w:pPr>
            <w:r>
              <w:rPr>
                <w:rFonts w:hint="eastAsia" w:ascii="宋体" w:hAnsi="宋体" w:cs="仿宋"/>
                <w:color w:val="auto"/>
                <w:highlight w:val="none"/>
              </w:rPr>
              <w:t>1</w:t>
            </w:r>
          </w:p>
        </w:tc>
        <w:tc>
          <w:tcPr>
            <w:tcW w:w="6300" w:type="dxa"/>
            <w:tcBorders>
              <w:top w:val="single" w:color="auto" w:sz="4" w:space="0"/>
              <w:left w:val="single" w:color="auto" w:sz="4" w:space="0"/>
              <w:bottom w:val="single" w:color="auto" w:sz="4" w:space="0"/>
              <w:right w:val="single" w:color="auto" w:sz="4" w:space="0"/>
            </w:tcBorders>
            <w:noWrap/>
          </w:tcPr>
          <w:p>
            <w:pPr>
              <w:wordWrap w:val="0"/>
              <w:adjustRightInd/>
              <w:spacing w:line="360" w:lineRule="auto"/>
              <w:rPr>
                <w:rFonts w:cs="仿宋"/>
                <w:color w:val="auto"/>
                <w:highlight w:val="none"/>
              </w:rPr>
            </w:pPr>
            <w:r>
              <w:rPr>
                <w:rFonts w:hint="eastAsia" w:ascii="宋体" w:hAnsi="宋体" w:cs="仿宋"/>
                <w:color w:val="auto"/>
                <w:highlight w:val="none"/>
              </w:rPr>
              <w:t>组织措施项目清单</w:t>
            </w:r>
          </w:p>
        </w:tc>
        <w:tc>
          <w:tcPr>
            <w:tcW w:w="1978" w:type="dxa"/>
            <w:tcBorders>
              <w:top w:val="single" w:color="auto" w:sz="4" w:space="0"/>
              <w:left w:val="single" w:color="auto" w:sz="4" w:space="0"/>
              <w:bottom w:val="single" w:color="auto" w:sz="4" w:space="0"/>
              <w:right w:val="single" w:color="auto" w:sz="4" w:space="0"/>
            </w:tcBorders>
            <w:noWrap/>
          </w:tcPr>
          <w:p>
            <w:pPr>
              <w:wordWrap w:val="0"/>
              <w:adjustRightInd/>
              <w:spacing w:line="360" w:lineRule="auto"/>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56"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360" w:lineRule="auto"/>
              <w:jc w:val="center"/>
              <w:rPr>
                <w:rFonts w:cs="仿宋"/>
                <w:color w:val="auto"/>
                <w:highlight w:val="none"/>
              </w:rPr>
            </w:pPr>
            <w:r>
              <w:rPr>
                <w:rFonts w:hint="eastAsia" w:ascii="宋体" w:hAnsi="宋体" w:cs="仿宋"/>
                <w:color w:val="auto"/>
                <w:highlight w:val="none"/>
              </w:rPr>
              <w:t>2</w:t>
            </w:r>
          </w:p>
        </w:tc>
        <w:tc>
          <w:tcPr>
            <w:tcW w:w="6300" w:type="dxa"/>
            <w:tcBorders>
              <w:top w:val="single" w:color="auto" w:sz="4" w:space="0"/>
              <w:left w:val="single" w:color="auto" w:sz="4" w:space="0"/>
              <w:bottom w:val="single" w:color="auto" w:sz="4" w:space="0"/>
              <w:right w:val="single" w:color="auto" w:sz="4" w:space="0"/>
            </w:tcBorders>
            <w:noWrap/>
          </w:tcPr>
          <w:p>
            <w:pPr>
              <w:wordWrap w:val="0"/>
              <w:adjustRightInd/>
              <w:spacing w:line="360" w:lineRule="auto"/>
              <w:rPr>
                <w:rFonts w:cs="仿宋"/>
                <w:color w:val="auto"/>
                <w:highlight w:val="none"/>
              </w:rPr>
            </w:pPr>
            <w:r>
              <w:rPr>
                <w:rFonts w:hint="eastAsia" w:ascii="宋体" w:hAnsi="宋体" w:cs="仿宋"/>
                <w:color w:val="auto"/>
                <w:highlight w:val="none"/>
              </w:rPr>
              <w:t>技术措施项目清单</w:t>
            </w:r>
          </w:p>
        </w:tc>
        <w:tc>
          <w:tcPr>
            <w:tcW w:w="1978" w:type="dxa"/>
            <w:tcBorders>
              <w:top w:val="single" w:color="auto" w:sz="4" w:space="0"/>
              <w:left w:val="single" w:color="auto" w:sz="4" w:space="0"/>
              <w:bottom w:val="single" w:color="auto" w:sz="4" w:space="0"/>
              <w:right w:val="single" w:color="auto" w:sz="4" w:space="0"/>
            </w:tcBorders>
            <w:noWrap/>
          </w:tcPr>
          <w:p>
            <w:pPr>
              <w:wordWrap w:val="0"/>
              <w:adjustRightInd/>
              <w:spacing w:line="360" w:lineRule="auto"/>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56"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360" w:lineRule="auto"/>
              <w:jc w:val="center"/>
              <w:rPr>
                <w:rFonts w:cs="仿宋"/>
                <w:color w:val="auto"/>
                <w:highlight w:val="none"/>
              </w:rPr>
            </w:pPr>
            <w:r>
              <w:rPr>
                <w:rFonts w:hint="eastAsia" w:ascii="宋体" w:hAnsi="宋体" w:cs="仿宋"/>
                <w:color w:val="auto"/>
                <w:highlight w:val="none"/>
              </w:rPr>
              <w:t>（二）</w:t>
            </w:r>
          </w:p>
        </w:tc>
        <w:tc>
          <w:tcPr>
            <w:tcW w:w="6300" w:type="dxa"/>
            <w:tcBorders>
              <w:top w:val="single" w:color="auto" w:sz="4" w:space="0"/>
              <w:left w:val="single" w:color="auto" w:sz="4" w:space="0"/>
              <w:bottom w:val="single" w:color="auto" w:sz="4" w:space="0"/>
              <w:right w:val="single" w:color="auto" w:sz="4" w:space="0"/>
            </w:tcBorders>
            <w:noWrap/>
          </w:tcPr>
          <w:p>
            <w:pPr>
              <w:wordWrap w:val="0"/>
              <w:adjustRightInd/>
              <w:spacing w:line="360" w:lineRule="auto"/>
              <w:rPr>
                <w:rFonts w:cs="仿宋"/>
                <w:color w:val="auto"/>
                <w:highlight w:val="none"/>
              </w:rPr>
            </w:pPr>
            <w:r>
              <w:rPr>
                <w:rFonts w:hint="eastAsia" w:ascii="宋体" w:hAnsi="宋体" w:cs="仿宋"/>
                <w:color w:val="auto"/>
                <w:highlight w:val="none"/>
              </w:rPr>
              <w:t>整体其他项目清单</w:t>
            </w:r>
          </w:p>
        </w:tc>
        <w:tc>
          <w:tcPr>
            <w:tcW w:w="1978" w:type="dxa"/>
            <w:tcBorders>
              <w:top w:val="single" w:color="auto" w:sz="4" w:space="0"/>
              <w:left w:val="single" w:color="auto" w:sz="4" w:space="0"/>
              <w:bottom w:val="single" w:color="auto" w:sz="4" w:space="0"/>
              <w:right w:val="single" w:color="auto" w:sz="4" w:space="0"/>
            </w:tcBorders>
            <w:noWrap/>
          </w:tcPr>
          <w:p>
            <w:pPr>
              <w:wordWrap w:val="0"/>
              <w:adjustRightInd/>
              <w:spacing w:line="360" w:lineRule="auto"/>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56"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360" w:lineRule="auto"/>
              <w:jc w:val="center"/>
              <w:rPr>
                <w:rFonts w:cs="仿宋"/>
                <w:color w:val="auto"/>
                <w:highlight w:val="none"/>
              </w:rPr>
            </w:pPr>
            <w:r>
              <w:rPr>
                <w:rFonts w:hint="eastAsia" w:ascii="宋体" w:hAnsi="宋体" w:cs="仿宋"/>
                <w:color w:val="auto"/>
                <w:highlight w:val="none"/>
              </w:rPr>
              <w:t>（三）</w:t>
            </w:r>
          </w:p>
        </w:tc>
        <w:tc>
          <w:tcPr>
            <w:tcW w:w="6300" w:type="dxa"/>
            <w:tcBorders>
              <w:top w:val="single" w:color="auto" w:sz="4" w:space="0"/>
              <w:left w:val="single" w:color="auto" w:sz="4" w:space="0"/>
              <w:bottom w:val="single" w:color="auto" w:sz="4" w:space="0"/>
              <w:right w:val="single" w:color="auto" w:sz="4" w:space="0"/>
            </w:tcBorders>
            <w:noWrap/>
          </w:tcPr>
          <w:p>
            <w:pPr>
              <w:wordWrap w:val="0"/>
              <w:adjustRightInd/>
              <w:spacing w:line="360" w:lineRule="auto"/>
              <w:rPr>
                <w:rFonts w:cs="仿宋"/>
                <w:color w:val="auto"/>
                <w:highlight w:val="none"/>
              </w:rPr>
            </w:pPr>
            <w:r>
              <w:rPr>
                <w:rFonts w:hint="eastAsia" w:ascii="宋体" w:hAnsi="宋体" w:cs="仿宋"/>
                <w:color w:val="auto"/>
                <w:highlight w:val="none"/>
              </w:rPr>
              <w:t>整体措施项目规费</w:t>
            </w:r>
          </w:p>
        </w:tc>
        <w:tc>
          <w:tcPr>
            <w:tcW w:w="1978" w:type="dxa"/>
            <w:tcBorders>
              <w:top w:val="single" w:color="auto" w:sz="4" w:space="0"/>
              <w:left w:val="single" w:color="auto" w:sz="4" w:space="0"/>
              <w:bottom w:val="single" w:color="auto" w:sz="4" w:space="0"/>
              <w:right w:val="single" w:color="auto" w:sz="4" w:space="0"/>
            </w:tcBorders>
            <w:noWrap/>
          </w:tcPr>
          <w:p>
            <w:pPr>
              <w:wordWrap w:val="0"/>
              <w:adjustRightInd/>
              <w:spacing w:line="360" w:lineRule="auto"/>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56"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360" w:lineRule="auto"/>
              <w:jc w:val="center"/>
              <w:rPr>
                <w:rFonts w:cs="仿宋"/>
                <w:color w:val="auto"/>
                <w:highlight w:val="none"/>
              </w:rPr>
            </w:pPr>
            <w:r>
              <w:rPr>
                <w:rFonts w:hint="eastAsia" w:ascii="宋体" w:hAnsi="宋体" w:cs="仿宋"/>
                <w:color w:val="auto"/>
                <w:highlight w:val="none"/>
              </w:rPr>
              <w:t>（四）</w:t>
            </w:r>
          </w:p>
        </w:tc>
        <w:tc>
          <w:tcPr>
            <w:tcW w:w="6300" w:type="dxa"/>
            <w:tcBorders>
              <w:top w:val="single" w:color="auto" w:sz="4" w:space="0"/>
              <w:left w:val="single" w:color="auto" w:sz="4" w:space="0"/>
              <w:bottom w:val="single" w:color="auto" w:sz="4" w:space="0"/>
              <w:right w:val="single" w:color="auto" w:sz="4" w:space="0"/>
            </w:tcBorders>
            <w:noWrap/>
          </w:tcPr>
          <w:p>
            <w:pPr>
              <w:wordWrap w:val="0"/>
              <w:adjustRightInd/>
              <w:spacing w:line="360" w:lineRule="auto"/>
              <w:rPr>
                <w:rFonts w:cs="仿宋"/>
                <w:color w:val="auto"/>
                <w:highlight w:val="none"/>
              </w:rPr>
            </w:pPr>
            <w:r>
              <w:rPr>
                <w:rFonts w:hint="eastAsia" w:ascii="宋体" w:hAnsi="宋体" w:cs="仿宋"/>
                <w:color w:val="auto"/>
                <w:highlight w:val="none"/>
              </w:rPr>
              <w:t>税金 {[（一）+（二）+（三）]×费率}</w:t>
            </w:r>
          </w:p>
        </w:tc>
        <w:tc>
          <w:tcPr>
            <w:tcW w:w="1978" w:type="dxa"/>
            <w:tcBorders>
              <w:top w:val="single" w:color="auto" w:sz="4" w:space="0"/>
              <w:left w:val="single" w:color="auto" w:sz="4" w:space="0"/>
              <w:bottom w:val="single" w:color="auto" w:sz="4" w:space="0"/>
              <w:right w:val="single" w:color="auto" w:sz="4" w:space="0"/>
            </w:tcBorders>
            <w:noWrap/>
          </w:tcPr>
          <w:p>
            <w:pPr>
              <w:wordWrap w:val="0"/>
              <w:adjustRightInd/>
              <w:spacing w:line="360" w:lineRule="auto"/>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56" w:type="dxa"/>
            <w:tcBorders>
              <w:top w:val="single" w:color="auto" w:sz="4" w:space="0"/>
              <w:left w:val="single" w:color="auto" w:sz="4" w:space="0"/>
              <w:bottom w:val="single" w:color="auto" w:sz="4" w:space="0"/>
              <w:right w:val="single" w:color="auto" w:sz="4" w:space="0"/>
            </w:tcBorders>
            <w:noWrap/>
          </w:tcPr>
          <w:p>
            <w:pPr>
              <w:wordWrap w:val="0"/>
              <w:adjustRightInd/>
              <w:spacing w:line="360" w:lineRule="auto"/>
              <w:jc w:val="center"/>
              <w:rPr>
                <w:rFonts w:cs="仿宋"/>
                <w:color w:val="auto"/>
                <w:highlight w:val="none"/>
              </w:rPr>
            </w:pPr>
          </w:p>
        </w:tc>
        <w:tc>
          <w:tcPr>
            <w:tcW w:w="6300" w:type="dxa"/>
            <w:tcBorders>
              <w:top w:val="single" w:color="auto" w:sz="4" w:space="0"/>
              <w:left w:val="single" w:color="auto" w:sz="4" w:space="0"/>
              <w:bottom w:val="single" w:color="auto" w:sz="4" w:space="0"/>
              <w:right w:val="single" w:color="auto" w:sz="4" w:space="0"/>
            </w:tcBorders>
            <w:noWrap/>
          </w:tcPr>
          <w:p>
            <w:pPr>
              <w:wordWrap w:val="0"/>
              <w:adjustRightInd/>
              <w:spacing w:line="360" w:lineRule="auto"/>
              <w:rPr>
                <w:rFonts w:cs="仿宋"/>
                <w:color w:val="auto"/>
                <w:highlight w:val="none"/>
              </w:rPr>
            </w:pPr>
            <w:r>
              <w:rPr>
                <w:rFonts w:hint="eastAsia" w:ascii="宋体" w:hAnsi="宋体" w:cs="仿宋"/>
                <w:color w:val="auto"/>
                <w:highlight w:val="none"/>
              </w:rPr>
              <w:t>总报价 [一 + 二 ]</w:t>
            </w:r>
          </w:p>
        </w:tc>
        <w:tc>
          <w:tcPr>
            <w:tcW w:w="1978" w:type="dxa"/>
            <w:tcBorders>
              <w:top w:val="single" w:color="auto" w:sz="4" w:space="0"/>
              <w:left w:val="single" w:color="auto" w:sz="4" w:space="0"/>
              <w:bottom w:val="single" w:color="auto" w:sz="4" w:space="0"/>
              <w:right w:val="single" w:color="auto" w:sz="4" w:space="0"/>
            </w:tcBorders>
            <w:noWrap/>
          </w:tcPr>
          <w:p>
            <w:pPr>
              <w:wordWrap w:val="0"/>
              <w:adjustRightInd/>
              <w:spacing w:line="360" w:lineRule="auto"/>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334" w:type="dxa"/>
            <w:gridSpan w:val="3"/>
            <w:tcBorders>
              <w:top w:val="single" w:color="auto" w:sz="4" w:space="0"/>
              <w:left w:val="single" w:color="auto" w:sz="4" w:space="0"/>
              <w:bottom w:val="single" w:color="auto" w:sz="4" w:space="0"/>
              <w:right w:val="single" w:color="auto" w:sz="4" w:space="0"/>
            </w:tcBorders>
            <w:noWrap/>
          </w:tcPr>
          <w:p>
            <w:pPr>
              <w:wordWrap w:val="0"/>
              <w:adjustRightInd/>
              <w:spacing w:line="360" w:lineRule="auto"/>
              <w:rPr>
                <w:rFonts w:cs="仿宋"/>
                <w:color w:val="auto"/>
                <w:highlight w:val="none"/>
              </w:rPr>
            </w:pPr>
            <w:r>
              <w:rPr>
                <w:rFonts w:hint="eastAsia" w:ascii="宋体" w:hAnsi="宋体" w:cs="仿宋"/>
                <w:color w:val="auto"/>
                <w:highlight w:val="none"/>
              </w:rPr>
              <w:t>总报价（大写）：</w:t>
            </w:r>
          </w:p>
        </w:tc>
      </w:tr>
    </w:tbl>
    <w:p>
      <w:pPr>
        <w:wordWrap w:val="0"/>
        <w:adjustRightInd/>
        <w:spacing w:line="440" w:lineRule="exact"/>
        <w:ind w:firstLine="420" w:firstLineChars="200"/>
        <w:rPr>
          <w:rFonts w:cs="仿宋"/>
          <w:color w:val="auto"/>
          <w:highlight w:val="none"/>
        </w:rPr>
      </w:pPr>
      <w:r>
        <w:rPr>
          <w:rFonts w:hint="eastAsia" w:ascii="宋体" w:hAnsi="宋体" w:cs="仿宋"/>
          <w:color w:val="auto"/>
          <w:highlight w:val="none"/>
        </w:rPr>
        <w:t>注：1.本表适用于：（1）有2个及以上单位工程的群体项目的总报价汇总；（2）单位工程发包且有2个及以上专业工程分部分项工程量清单的招标项目总报价汇总。本表应在表1-1-2基础上汇总。</w:t>
      </w:r>
    </w:p>
    <w:p>
      <w:pPr>
        <w:wordWrap w:val="0"/>
        <w:adjustRightInd/>
        <w:spacing w:line="440" w:lineRule="exact"/>
        <w:ind w:firstLine="420" w:firstLineChars="200"/>
        <w:rPr>
          <w:rFonts w:cs="仿宋"/>
          <w:color w:val="auto"/>
          <w:highlight w:val="none"/>
        </w:rPr>
      </w:pPr>
      <w:r>
        <w:rPr>
          <w:rFonts w:hint="eastAsia" w:ascii="宋体" w:hAnsi="宋体" w:cs="仿宋"/>
          <w:color w:val="auto"/>
          <w:highlight w:val="none"/>
        </w:rPr>
        <w:t>2．本表中的整体项目措施清单报价指根据招标人要求和项目特点应从招标项目整体上考虑的措施项目报价。</w:t>
      </w:r>
    </w:p>
    <w:p>
      <w:pPr>
        <w:wordWrap w:val="0"/>
        <w:adjustRightInd/>
        <w:spacing w:line="440" w:lineRule="exact"/>
        <w:ind w:firstLine="420" w:firstLineChars="200"/>
        <w:rPr>
          <w:rFonts w:cs="仿宋"/>
          <w:color w:val="auto"/>
          <w:highlight w:val="none"/>
        </w:rPr>
      </w:pPr>
      <w:r>
        <w:rPr>
          <w:rFonts w:hint="eastAsia" w:ascii="宋体" w:hAnsi="宋体" w:cs="仿宋"/>
          <w:color w:val="auto"/>
          <w:highlight w:val="none"/>
        </w:rPr>
        <w:t>3．本表中的整体其他项目清单报价指根据招标人要求需按招标项目整体考虑的其他项目清单报价。</w:t>
      </w:r>
    </w:p>
    <w:p>
      <w:pPr>
        <w:wordWrap w:val="0"/>
        <w:adjustRightInd/>
        <w:spacing w:line="440" w:lineRule="exact"/>
        <w:ind w:firstLine="420" w:firstLineChars="200"/>
        <w:rPr>
          <w:rFonts w:cs="仿宋"/>
          <w:color w:val="auto"/>
          <w:highlight w:val="none"/>
        </w:rPr>
      </w:pPr>
      <w:r>
        <w:rPr>
          <w:rFonts w:hint="eastAsia" w:ascii="宋体" w:hAnsi="宋体" w:cs="仿宋"/>
          <w:color w:val="auto"/>
          <w:highlight w:val="none"/>
        </w:rPr>
        <w:t>4．本表中的规费指整体措施清单项目应计取的规费。</w:t>
      </w:r>
    </w:p>
    <w:p>
      <w:pPr>
        <w:wordWrap w:val="0"/>
        <w:adjustRightInd/>
        <w:spacing w:line="440" w:lineRule="exact"/>
        <w:ind w:firstLine="420" w:firstLineChars="200"/>
        <w:rPr>
          <w:rFonts w:cs="仿宋"/>
          <w:color w:val="auto"/>
          <w:highlight w:val="none"/>
        </w:rPr>
      </w:pPr>
      <w:r>
        <w:rPr>
          <w:rFonts w:hint="eastAsia" w:ascii="宋体" w:hAnsi="宋体" w:cs="仿宋"/>
          <w:color w:val="auto"/>
          <w:highlight w:val="none"/>
        </w:rPr>
        <w:t>5．本表中的税金指未纳入单位工程费的整体措施项目清单、其他项目清单以及相应规费等费用应计取的税金。</w:t>
      </w:r>
    </w:p>
    <w:p>
      <w:pPr>
        <w:wordWrap w:val="0"/>
        <w:adjustRightInd/>
        <w:spacing w:line="440" w:lineRule="exact"/>
        <w:ind w:firstLine="420" w:firstLineChars="200"/>
        <w:rPr>
          <w:rFonts w:cs="仿宋"/>
          <w:color w:val="auto"/>
          <w:highlight w:val="none"/>
        </w:rPr>
      </w:pPr>
      <w:r>
        <w:rPr>
          <w:rFonts w:hint="eastAsia" w:ascii="宋体" w:hAnsi="宋体" w:cs="仿宋"/>
          <w:color w:val="auto"/>
          <w:highlight w:val="none"/>
        </w:rPr>
        <w:t>投标人：（盖章）                       法定代表人或委托代理人：（盖章或签字）</w:t>
      </w:r>
    </w:p>
    <w:p>
      <w:pPr>
        <w:rPr>
          <w:rFonts w:cs="仿宋"/>
          <w:b/>
          <w:bCs/>
          <w:color w:val="auto"/>
          <w:sz w:val="32"/>
          <w:szCs w:val="28"/>
          <w:highlight w:val="none"/>
        </w:rPr>
      </w:pPr>
      <w:r>
        <w:rPr>
          <w:rFonts w:hint="eastAsia" w:ascii="宋体" w:hAnsi="宋体" w:cs="仿宋"/>
          <w:b/>
          <w:bCs/>
          <w:color w:val="auto"/>
          <w:sz w:val="32"/>
          <w:szCs w:val="28"/>
          <w:highlight w:val="none"/>
        </w:rPr>
        <w:br w:type="page"/>
      </w:r>
    </w:p>
    <w:p>
      <w:pPr>
        <w:wordWrap w:val="0"/>
        <w:jc w:val="center"/>
        <w:outlineLvl w:val="4"/>
        <w:rPr>
          <w:rFonts w:cs="仿宋"/>
          <w:b/>
          <w:bCs/>
          <w:color w:val="auto"/>
          <w:sz w:val="32"/>
          <w:szCs w:val="28"/>
          <w:highlight w:val="none"/>
        </w:rPr>
      </w:pPr>
      <w:r>
        <w:rPr>
          <w:rFonts w:hint="eastAsia" w:ascii="宋体" w:hAnsi="宋体" w:cs="仿宋"/>
          <w:b/>
          <w:bCs/>
          <w:color w:val="auto"/>
          <w:sz w:val="32"/>
          <w:szCs w:val="28"/>
          <w:highlight w:val="none"/>
        </w:rPr>
        <w:t>表1-1-2 单位工程报价汇总表</w:t>
      </w:r>
    </w:p>
    <w:p>
      <w:pPr>
        <w:wordWrap w:val="0"/>
        <w:adjustRightInd/>
        <w:spacing w:line="460" w:lineRule="exact"/>
        <w:rPr>
          <w:rFonts w:cs="仿宋"/>
          <w:color w:val="auto"/>
          <w:highlight w:val="none"/>
        </w:rPr>
      </w:pPr>
      <w:r>
        <w:rPr>
          <w:rFonts w:hint="eastAsia" w:ascii="宋体" w:hAnsi="宋体" w:cs="仿宋"/>
          <w:color w:val="auto"/>
          <w:highlight w:val="none"/>
        </w:rPr>
        <w:t xml:space="preserve">工程名称：                    </w:t>
      </w:r>
    </w:p>
    <w:p>
      <w:pPr>
        <w:wordWrap w:val="0"/>
        <w:adjustRightInd/>
        <w:spacing w:line="460" w:lineRule="exact"/>
        <w:rPr>
          <w:rFonts w:cs="仿宋"/>
          <w:color w:val="auto"/>
          <w:highlight w:val="none"/>
        </w:rPr>
      </w:pPr>
      <w:r>
        <w:rPr>
          <w:rFonts w:hint="eastAsia" w:ascii="宋体" w:hAnsi="宋体" w:cs="仿宋"/>
          <w:color w:val="auto"/>
          <w:highlight w:val="none"/>
        </w:rPr>
        <w:t>单位工程名称：</w:t>
      </w:r>
    </w:p>
    <w:tbl>
      <w:tblPr>
        <w:tblStyle w:val="63"/>
        <w:tblW w:w="9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3600"/>
        <w:gridCol w:w="1236"/>
        <w:gridCol w:w="1948"/>
        <w:gridCol w:w="1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6" w:hRule="atLeast"/>
        </w:trPr>
        <w:tc>
          <w:tcPr>
            <w:tcW w:w="1008" w:type="dxa"/>
            <w:vMerge w:val="restart"/>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序号</w:t>
            </w:r>
          </w:p>
        </w:tc>
        <w:tc>
          <w:tcPr>
            <w:tcW w:w="3600" w:type="dxa"/>
            <w:vMerge w:val="restart"/>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内容</w:t>
            </w:r>
          </w:p>
        </w:tc>
        <w:tc>
          <w:tcPr>
            <w:tcW w:w="1236" w:type="dxa"/>
            <w:vMerge w:val="restart"/>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报价合计</w:t>
            </w:r>
          </w:p>
          <w:p>
            <w:pPr>
              <w:wordWrap w:val="0"/>
              <w:adjustRightInd/>
              <w:spacing w:line="460" w:lineRule="exact"/>
              <w:jc w:val="center"/>
              <w:rPr>
                <w:rFonts w:cs="仿宋"/>
                <w:color w:val="auto"/>
                <w:highlight w:val="none"/>
              </w:rPr>
            </w:pPr>
            <w:r>
              <w:rPr>
                <w:rFonts w:hint="eastAsia" w:ascii="宋体" w:hAnsi="宋体" w:cs="仿宋"/>
                <w:color w:val="auto"/>
                <w:highlight w:val="none"/>
              </w:rPr>
              <w:t>（元）</w:t>
            </w:r>
          </w:p>
        </w:tc>
        <w:tc>
          <w:tcPr>
            <w:tcW w:w="1948"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（清单号）</w:t>
            </w:r>
          </w:p>
        </w:tc>
        <w:tc>
          <w:tcPr>
            <w:tcW w:w="1856"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（清单号）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6" w:hRule="atLeast"/>
        </w:trPr>
        <w:tc>
          <w:tcPr>
            <w:tcW w:w="1008" w:type="dxa"/>
            <w:vMerge w:val="continue"/>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ind w:firstLine="420" w:firstLineChars="200"/>
              <w:jc w:val="center"/>
              <w:rPr>
                <w:rFonts w:cs="仿宋"/>
                <w:color w:val="auto"/>
                <w:highlight w:val="none"/>
              </w:rPr>
            </w:pPr>
          </w:p>
        </w:tc>
        <w:tc>
          <w:tcPr>
            <w:tcW w:w="3600" w:type="dxa"/>
            <w:vMerge w:val="continue"/>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ind w:firstLine="420" w:firstLineChars="200"/>
              <w:jc w:val="center"/>
              <w:rPr>
                <w:rFonts w:cs="仿宋"/>
                <w:color w:val="auto"/>
                <w:highlight w:val="none"/>
              </w:rPr>
            </w:pPr>
          </w:p>
        </w:tc>
        <w:tc>
          <w:tcPr>
            <w:tcW w:w="1236" w:type="dxa"/>
            <w:vMerge w:val="continue"/>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ind w:firstLine="420" w:firstLineChars="200"/>
              <w:jc w:val="center"/>
              <w:rPr>
                <w:rFonts w:cs="仿宋"/>
                <w:color w:val="auto"/>
                <w:highlight w:val="none"/>
              </w:rPr>
            </w:pPr>
          </w:p>
        </w:tc>
        <w:tc>
          <w:tcPr>
            <w:tcW w:w="1948"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(专业工程1)</w:t>
            </w:r>
          </w:p>
        </w:tc>
        <w:tc>
          <w:tcPr>
            <w:tcW w:w="1856"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(专业工程2)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008"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一</w:t>
            </w:r>
          </w:p>
        </w:tc>
        <w:tc>
          <w:tcPr>
            <w:tcW w:w="360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rPr>
                <w:rFonts w:cs="仿宋"/>
                <w:color w:val="auto"/>
                <w:highlight w:val="none"/>
              </w:rPr>
            </w:pPr>
            <w:r>
              <w:rPr>
                <w:rFonts w:hint="eastAsia" w:ascii="宋体" w:hAnsi="宋体" w:cs="仿宋"/>
                <w:color w:val="auto"/>
                <w:highlight w:val="none"/>
              </w:rPr>
              <w:t>分部分项工程量清单</w:t>
            </w:r>
          </w:p>
        </w:tc>
        <w:tc>
          <w:tcPr>
            <w:tcW w:w="1236"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rPr>
                <w:rFonts w:cs="仿宋"/>
                <w:color w:val="auto"/>
                <w:highlight w:val="none"/>
              </w:rPr>
            </w:pPr>
          </w:p>
        </w:tc>
        <w:tc>
          <w:tcPr>
            <w:tcW w:w="1948"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rPr>
                <w:rFonts w:cs="仿宋"/>
                <w:color w:val="auto"/>
                <w:highlight w:val="none"/>
              </w:rPr>
            </w:pPr>
          </w:p>
        </w:tc>
        <w:tc>
          <w:tcPr>
            <w:tcW w:w="1856"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r>
              <w:rPr>
                <w:rFonts w:hint="eastAsia" w:ascii="宋体" w:hAnsi="宋体" w:cs="仿宋"/>
                <w:color w:val="auto"/>
                <w:highlight w:val="none"/>
              </w:rPr>
              <w:t>二</w:t>
            </w:r>
          </w:p>
        </w:tc>
        <w:tc>
          <w:tcPr>
            <w:tcW w:w="360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rPr>
                <w:rFonts w:cs="仿宋"/>
                <w:color w:val="auto"/>
                <w:highlight w:val="none"/>
              </w:rPr>
            </w:pPr>
            <w:r>
              <w:rPr>
                <w:rFonts w:hint="eastAsia" w:ascii="宋体" w:hAnsi="宋体" w:cs="仿宋"/>
                <w:color w:val="auto"/>
                <w:highlight w:val="none"/>
              </w:rPr>
              <w:t>措施项目清单（1+2）</w:t>
            </w:r>
          </w:p>
        </w:tc>
        <w:tc>
          <w:tcPr>
            <w:tcW w:w="1236"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rPr>
                <w:rFonts w:cs="仿宋"/>
                <w:color w:val="auto"/>
                <w:highlight w:val="none"/>
              </w:rPr>
            </w:pPr>
          </w:p>
        </w:tc>
        <w:tc>
          <w:tcPr>
            <w:tcW w:w="1948"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rPr>
                <w:rFonts w:cs="仿宋"/>
                <w:color w:val="auto"/>
                <w:highlight w:val="none"/>
              </w:rPr>
            </w:pPr>
          </w:p>
        </w:tc>
        <w:tc>
          <w:tcPr>
            <w:tcW w:w="1856"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r>
              <w:rPr>
                <w:rFonts w:hint="eastAsia" w:ascii="宋体" w:hAnsi="宋体" w:cs="仿宋"/>
                <w:color w:val="auto"/>
                <w:highlight w:val="none"/>
              </w:rPr>
              <w:t>1</w:t>
            </w:r>
          </w:p>
        </w:tc>
        <w:tc>
          <w:tcPr>
            <w:tcW w:w="360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rPr>
                <w:rFonts w:cs="仿宋"/>
                <w:color w:val="auto"/>
                <w:highlight w:val="none"/>
              </w:rPr>
            </w:pPr>
            <w:r>
              <w:rPr>
                <w:rFonts w:hint="eastAsia" w:ascii="宋体" w:hAnsi="宋体" w:cs="仿宋"/>
                <w:color w:val="auto"/>
                <w:highlight w:val="none"/>
              </w:rPr>
              <w:t>组织措施项目清单</w:t>
            </w:r>
          </w:p>
        </w:tc>
        <w:tc>
          <w:tcPr>
            <w:tcW w:w="1236"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rPr>
                <w:rFonts w:cs="仿宋"/>
                <w:color w:val="auto"/>
                <w:highlight w:val="none"/>
              </w:rPr>
            </w:pPr>
          </w:p>
        </w:tc>
        <w:tc>
          <w:tcPr>
            <w:tcW w:w="1948"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rPr>
                <w:rFonts w:cs="仿宋"/>
                <w:color w:val="auto"/>
                <w:highlight w:val="none"/>
              </w:rPr>
            </w:pPr>
          </w:p>
        </w:tc>
        <w:tc>
          <w:tcPr>
            <w:tcW w:w="1856"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008"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r>
              <w:rPr>
                <w:rFonts w:hint="eastAsia" w:ascii="宋体" w:hAnsi="宋体" w:cs="仿宋"/>
                <w:color w:val="auto"/>
                <w:highlight w:val="none"/>
              </w:rPr>
              <w:t>2</w:t>
            </w:r>
          </w:p>
        </w:tc>
        <w:tc>
          <w:tcPr>
            <w:tcW w:w="360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rPr>
                <w:rFonts w:cs="仿宋"/>
                <w:color w:val="auto"/>
                <w:highlight w:val="none"/>
              </w:rPr>
            </w:pPr>
            <w:r>
              <w:rPr>
                <w:rFonts w:hint="eastAsia" w:ascii="宋体" w:hAnsi="宋体" w:cs="仿宋"/>
                <w:color w:val="auto"/>
                <w:highlight w:val="none"/>
              </w:rPr>
              <w:t>技术措施项目清单</w:t>
            </w:r>
          </w:p>
        </w:tc>
        <w:tc>
          <w:tcPr>
            <w:tcW w:w="1236"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rPr>
                <w:rFonts w:cs="仿宋"/>
                <w:color w:val="auto"/>
                <w:highlight w:val="none"/>
              </w:rPr>
            </w:pPr>
          </w:p>
        </w:tc>
        <w:tc>
          <w:tcPr>
            <w:tcW w:w="1948"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rPr>
                <w:rFonts w:cs="仿宋"/>
                <w:color w:val="auto"/>
                <w:highlight w:val="none"/>
              </w:rPr>
            </w:pPr>
          </w:p>
        </w:tc>
        <w:tc>
          <w:tcPr>
            <w:tcW w:w="1856"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008"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三</w:t>
            </w:r>
          </w:p>
        </w:tc>
        <w:tc>
          <w:tcPr>
            <w:tcW w:w="360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rPr>
                <w:rFonts w:cs="仿宋"/>
                <w:color w:val="auto"/>
                <w:highlight w:val="none"/>
              </w:rPr>
            </w:pPr>
            <w:r>
              <w:rPr>
                <w:rFonts w:hint="eastAsia" w:ascii="宋体" w:hAnsi="宋体" w:cs="仿宋"/>
                <w:color w:val="auto"/>
                <w:highlight w:val="none"/>
              </w:rPr>
              <w:t>其他项目清单</w:t>
            </w:r>
          </w:p>
        </w:tc>
        <w:tc>
          <w:tcPr>
            <w:tcW w:w="1236"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rPr>
                <w:rFonts w:cs="仿宋"/>
                <w:color w:val="auto"/>
                <w:highlight w:val="none"/>
              </w:rPr>
            </w:pPr>
          </w:p>
        </w:tc>
        <w:tc>
          <w:tcPr>
            <w:tcW w:w="3804" w:type="dxa"/>
            <w:gridSpan w:val="2"/>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rPr>
                <w:rFonts w:cs="仿宋"/>
                <w:color w:val="auto"/>
                <w:highlight w:val="none"/>
              </w:rPr>
            </w:pPr>
            <w:r>
              <w:rPr>
                <w:color w:val="auto"/>
                <w:highlight w:val="none"/>
              </w:rPr>
              <mc:AlternateContent>
                <mc:Choice Requires="wps">
                  <w:drawing>
                    <wp:anchor distT="0" distB="0" distL="114300" distR="114300" simplePos="0" relativeHeight="251661312" behindDoc="0" locked="0" layoutInCell="1" allowOverlap="1">
                      <wp:simplePos x="0" y="0"/>
                      <wp:positionH relativeFrom="column">
                        <wp:posOffset>-54610</wp:posOffset>
                      </wp:positionH>
                      <wp:positionV relativeFrom="paragraph">
                        <wp:posOffset>8890</wp:posOffset>
                      </wp:positionV>
                      <wp:extent cx="1529080" cy="179070"/>
                      <wp:effectExtent l="635" t="4445" r="9525" b="14605"/>
                      <wp:wrapNone/>
                      <wp:docPr id="6" name="直接连接符 6"/>
                      <wp:cNvGraphicFramePr/>
                      <a:graphic xmlns:a="http://schemas.openxmlformats.org/drawingml/2006/main">
                        <a:graphicData uri="http://schemas.microsoft.com/office/word/2010/wordprocessingShape">
                          <wps:wsp>
                            <wps:cNvCnPr/>
                            <wps:spPr>
                              <a:xfrm flipV="1">
                                <a:off x="0" y="0"/>
                                <a:ext cx="1529080" cy="17907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flip:y;margin-left:-4.3pt;margin-top:0.7pt;height:14.1pt;width:120.4pt;z-index:251661312;mso-width-relative:page;mso-height-relative:page;" filled="f" stroked="t" coordsize="21600,21600" o:gfxdata="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KSi8zVAAAABwEAAA8AAAAAAAAAAQAgAAAAIgAAAGRycy9kb3ducmV2&#10;LnhtbFBLAQIUABQAAAAIAIdO4kDahONK/wEAAPUDAAAOAAAAAAAAAAEAIAAAACQBAABkcnMvZTJv&#10;RG9jLnhtbFBLBQYAAAAABgAGAFkBAACVBQAAAAA=&#10;">
                      <v:fill on="f" focussize="0,0"/>
                      <v:stroke color="#000000" joinstyle="round"/>
                      <v:imagedata o:title=""/>
                      <o:lock v:ext="edit" aspectratio="f"/>
                    </v:lin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008"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r>
              <w:rPr>
                <w:rFonts w:hint="eastAsia" w:ascii="宋体" w:hAnsi="宋体" w:cs="仿宋"/>
                <w:color w:val="auto"/>
                <w:highlight w:val="none"/>
              </w:rPr>
              <w:t>四</w:t>
            </w:r>
          </w:p>
        </w:tc>
        <w:tc>
          <w:tcPr>
            <w:tcW w:w="360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rPr>
                <w:rFonts w:cs="仿宋"/>
                <w:color w:val="auto"/>
                <w:highlight w:val="none"/>
              </w:rPr>
            </w:pPr>
            <w:r>
              <w:rPr>
                <w:rFonts w:hint="eastAsia" w:ascii="宋体" w:hAnsi="宋体" w:cs="仿宋"/>
                <w:color w:val="auto"/>
                <w:highlight w:val="none"/>
              </w:rPr>
              <w:t>规费</w:t>
            </w:r>
          </w:p>
        </w:tc>
        <w:tc>
          <w:tcPr>
            <w:tcW w:w="1236"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rPr>
                <w:rFonts w:cs="仿宋"/>
                <w:color w:val="auto"/>
                <w:highlight w:val="none"/>
              </w:rPr>
            </w:pPr>
          </w:p>
        </w:tc>
        <w:tc>
          <w:tcPr>
            <w:tcW w:w="1948"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rPr>
                <w:rFonts w:cs="仿宋"/>
                <w:color w:val="auto"/>
                <w:highlight w:val="none"/>
              </w:rPr>
            </w:pPr>
          </w:p>
        </w:tc>
        <w:tc>
          <w:tcPr>
            <w:tcW w:w="1856"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 w:hRule="atLeast"/>
        </w:trPr>
        <w:tc>
          <w:tcPr>
            <w:tcW w:w="1008"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五</w:t>
            </w:r>
          </w:p>
        </w:tc>
        <w:tc>
          <w:tcPr>
            <w:tcW w:w="360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rPr>
                <w:rFonts w:cs="仿宋"/>
                <w:color w:val="auto"/>
                <w:highlight w:val="none"/>
              </w:rPr>
            </w:pPr>
            <w:r>
              <w:rPr>
                <w:rFonts w:hint="eastAsia" w:ascii="宋体" w:hAnsi="宋体" w:cs="仿宋"/>
                <w:color w:val="auto"/>
                <w:highlight w:val="none"/>
              </w:rPr>
              <w:t>税金[（一 + 二+三 + 四）×*费率]</w:t>
            </w:r>
          </w:p>
        </w:tc>
        <w:tc>
          <w:tcPr>
            <w:tcW w:w="1236"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rPr>
                <w:rFonts w:cs="仿宋"/>
                <w:color w:val="auto"/>
                <w:highlight w:val="none"/>
              </w:rPr>
            </w:pPr>
          </w:p>
        </w:tc>
        <w:tc>
          <w:tcPr>
            <w:tcW w:w="3804" w:type="dxa"/>
            <w:gridSpan w:val="2"/>
            <w:vMerge w:val="restart"/>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08"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r>
              <w:rPr>
                <w:rFonts w:hint="eastAsia" w:ascii="宋体" w:hAnsi="宋体" w:cs="仿宋"/>
                <w:color w:val="auto"/>
                <w:highlight w:val="none"/>
              </w:rPr>
              <w:t>六</w:t>
            </w:r>
          </w:p>
        </w:tc>
        <w:tc>
          <w:tcPr>
            <w:tcW w:w="360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rPr>
                <w:rFonts w:cs="仿宋"/>
                <w:color w:val="auto"/>
                <w:highlight w:val="none"/>
              </w:rPr>
            </w:pPr>
            <w:r>
              <w:rPr>
                <w:rFonts w:hint="eastAsia" w:ascii="宋体" w:hAnsi="宋体" w:cs="仿宋"/>
                <w:color w:val="auto"/>
                <w:highlight w:val="none"/>
              </w:rPr>
              <w:t>总报价（一+二+三+四+五）</w:t>
            </w:r>
          </w:p>
        </w:tc>
        <w:tc>
          <w:tcPr>
            <w:tcW w:w="1236"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rPr>
                <w:rFonts w:cs="仿宋"/>
                <w:color w:val="auto"/>
                <w:highlight w:val="none"/>
              </w:rPr>
            </w:pPr>
          </w:p>
        </w:tc>
        <w:tc>
          <w:tcPr>
            <w:tcW w:w="3804" w:type="dxa"/>
            <w:gridSpan w:val="2"/>
            <w:vMerge w:val="continue"/>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9648" w:type="dxa"/>
            <w:gridSpan w:val="5"/>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rPr>
                <w:rFonts w:cs="仿宋"/>
                <w:color w:val="auto"/>
                <w:highlight w:val="none"/>
              </w:rPr>
            </w:pPr>
            <w:r>
              <w:rPr>
                <w:rFonts w:hint="eastAsia" w:ascii="宋体" w:hAnsi="宋体" w:cs="仿宋"/>
                <w:color w:val="auto"/>
                <w:highlight w:val="none"/>
              </w:rPr>
              <w:t>总报价(大写)：</w:t>
            </w:r>
          </w:p>
        </w:tc>
      </w:tr>
    </w:tbl>
    <w:p>
      <w:pPr>
        <w:wordWrap w:val="0"/>
        <w:adjustRightInd/>
        <w:spacing w:line="460" w:lineRule="exact"/>
        <w:ind w:firstLine="420" w:firstLineChars="200"/>
        <w:rPr>
          <w:rFonts w:cs="仿宋"/>
          <w:color w:val="auto"/>
          <w:highlight w:val="none"/>
        </w:rPr>
      </w:pPr>
      <w:r>
        <w:rPr>
          <w:rFonts w:hint="eastAsia" w:ascii="宋体" w:hAnsi="宋体" w:cs="仿宋"/>
          <w:color w:val="auto"/>
          <w:highlight w:val="none"/>
        </w:rPr>
        <w:t>注：本表适用于：</w:t>
      </w:r>
    </w:p>
    <w:p>
      <w:pPr>
        <w:wordWrap w:val="0"/>
        <w:adjustRightInd/>
        <w:spacing w:line="460" w:lineRule="exact"/>
        <w:ind w:firstLine="420" w:firstLineChars="200"/>
        <w:rPr>
          <w:rFonts w:cs="仿宋"/>
          <w:color w:val="auto"/>
          <w:highlight w:val="none"/>
        </w:rPr>
      </w:pPr>
      <w:r>
        <w:rPr>
          <w:rFonts w:hint="eastAsia" w:ascii="宋体" w:hAnsi="宋体" w:cs="仿宋"/>
          <w:color w:val="auto"/>
          <w:highlight w:val="none"/>
        </w:rPr>
        <w:t>（1）只有1个专业工程分部分项工程量清单的单位工程发包项目的报价汇总；</w:t>
      </w:r>
    </w:p>
    <w:p>
      <w:pPr>
        <w:wordWrap w:val="0"/>
        <w:adjustRightInd/>
        <w:spacing w:line="460" w:lineRule="exact"/>
        <w:ind w:firstLine="420" w:firstLineChars="200"/>
        <w:rPr>
          <w:rFonts w:cs="仿宋"/>
          <w:color w:val="auto"/>
          <w:highlight w:val="none"/>
        </w:rPr>
      </w:pPr>
      <w:r>
        <w:rPr>
          <w:rFonts w:hint="eastAsia" w:ascii="宋体" w:hAnsi="宋体" w:cs="仿宋"/>
          <w:color w:val="auto"/>
          <w:highlight w:val="none"/>
        </w:rPr>
        <w:t>（2）其余招标项目的单位工程报价汇总。</w:t>
      </w:r>
    </w:p>
    <w:p>
      <w:pPr>
        <w:wordWrap w:val="0"/>
        <w:adjustRightInd/>
        <w:spacing w:line="460" w:lineRule="exact"/>
        <w:ind w:firstLine="420" w:firstLineChars="200"/>
        <w:rPr>
          <w:rFonts w:cs="仿宋"/>
          <w:color w:val="auto"/>
          <w:highlight w:val="none"/>
        </w:rPr>
      </w:pPr>
    </w:p>
    <w:p>
      <w:pPr>
        <w:wordWrap w:val="0"/>
        <w:adjustRightInd/>
        <w:spacing w:line="460" w:lineRule="exact"/>
        <w:ind w:firstLine="420" w:firstLineChars="200"/>
        <w:rPr>
          <w:rFonts w:cs="仿宋"/>
          <w:color w:val="auto"/>
          <w:highlight w:val="none"/>
        </w:rPr>
      </w:pPr>
      <w:r>
        <w:rPr>
          <w:rFonts w:hint="eastAsia" w:ascii="宋体" w:hAnsi="宋体" w:cs="仿宋"/>
          <w:color w:val="auto"/>
          <w:highlight w:val="none"/>
        </w:rPr>
        <w:t>投标人：（盖章）法定代表人或委托代理人：（盖章或签字）</w:t>
      </w:r>
    </w:p>
    <w:p>
      <w:pPr>
        <w:wordWrap w:val="0"/>
        <w:spacing w:line="460" w:lineRule="exact"/>
        <w:ind w:firstLine="420" w:firstLineChars="200"/>
        <w:rPr>
          <w:rFonts w:cs="仿宋"/>
          <w:color w:val="auto"/>
          <w:kern w:val="0"/>
          <w:szCs w:val="21"/>
          <w:highlight w:val="none"/>
        </w:rPr>
      </w:pPr>
    </w:p>
    <w:p>
      <w:pPr>
        <w:ind w:firstLine="480"/>
        <w:rPr>
          <w:color w:val="auto"/>
          <w:highlight w:val="none"/>
        </w:rPr>
        <w:sectPr>
          <w:headerReference r:id="rId26" w:type="first"/>
          <w:footerReference r:id="rId28" w:type="first"/>
          <w:headerReference r:id="rId25" w:type="default"/>
          <w:footerReference r:id="rId27" w:type="default"/>
          <w:pgSz w:w="12240" w:h="15840"/>
          <w:pgMar w:top="1304" w:right="964" w:bottom="964" w:left="1531" w:header="720" w:footer="720" w:gutter="0"/>
          <w:cols w:space="720" w:num="1"/>
          <w:titlePg/>
          <w:docGrid w:linePitch="312" w:charSpace="0"/>
        </w:sectPr>
      </w:pPr>
    </w:p>
    <w:p>
      <w:pPr>
        <w:wordWrap w:val="0"/>
        <w:jc w:val="center"/>
        <w:outlineLvl w:val="4"/>
        <w:rPr>
          <w:rFonts w:cs="仿宋"/>
          <w:b/>
          <w:bCs/>
          <w:color w:val="auto"/>
          <w:sz w:val="32"/>
          <w:szCs w:val="28"/>
          <w:highlight w:val="none"/>
        </w:rPr>
      </w:pPr>
      <w:r>
        <w:rPr>
          <w:rFonts w:hint="eastAsia" w:ascii="宋体" w:hAnsi="宋体" w:cs="仿宋"/>
          <w:b/>
          <w:bCs/>
          <w:color w:val="auto"/>
          <w:sz w:val="32"/>
          <w:szCs w:val="28"/>
          <w:highlight w:val="none"/>
        </w:rPr>
        <w:t>表1-2  分部分项工程量清单及计价表(      号清单)</w:t>
      </w:r>
    </w:p>
    <w:p>
      <w:pPr>
        <w:wordWrap w:val="0"/>
        <w:adjustRightInd/>
        <w:spacing w:line="460" w:lineRule="exact"/>
        <w:rPr>
          <w:rFonts w:cs="仿宋"/>
          <w:color w:val="auto"/>
          <w:highlight w:val="none"/>
        </w:rPr>
      </w:pPr>
      <w:r>
        <w:rPr>
          <w:rFonts w:hint="eastAsia" w:ascii="宋体" w:hAnsi="宋体" w:cs="仿宋"/>
          <w:color w:val="auto"/>
          <w:highlight w:val="none"/>
        </w:rPr>
        <w:t xml:space="preserve">单位工程及专业工程名称：                   </w:t>
      </w:r>
    </w:p>
    <w:p>
      <w:pPr>
        <w:wordWrap w:val="0"/>
        <w:adjustRightInd/>
        <w:spacing w:line="460" w:lineRule="exact"/>
        <w:jc w:val="right"/>
        <w:rPr>
          <w:rFonts w:cs="仿宋"/>
          <w:color w:val="auto"/>
          <w:highlight w:val="none"/>
        </w:rPr>
      </w:pPr>
      <w:r>
        <w:rPr>
          <w:rFonts w:hint="eastAsia" w:ascii="宋体" w:hAnsi="宋体" w:cs="仿宋"/>
          <w:color w:val="auto"/>
          <w:highlight w:val="none"/>
        </w:rPr>
        <w:t>第   页共   页</w:t>
      </w:r>
    </w:p>
    <w:tbl>
      <w:tblPr>
        <w:tblStyle w:val="63"/>
        <w:tblW w:w="141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4"/>
        <w:gridCol w:w="1388"/>
        <w:gridCol w:w="1330"/>
        <w:gridCol w:w="1360"/>
        <w:gridCol w:w="1320"/>
        <w:gridCol w:w="1096"/>
        <w:gridCol w:w="1260"/>
        <w:gridCol w:w="1026"/>
        <w:gridCol w:w="1254"/>
        <w:gridCol w:w="6"/>
        <w:gridCol w:w="1247"/>
        <w:gridCol w:w="13"/>
        <w:gridCol w:w="1088"/>
        <w:gridCol w:w="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814" w:type="dxa"/>
            <w:vMerge w:val="restart"/>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序号</w:t>
            </w:r>
          </w:p>
        </w:tc>
        <w:tc>
          <w:tcPr>
            <w:tcW w:w="1388" w:type="dxa"/>
            <w:vMerge w:val="restart"/>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项目编码</w:t>
            </w:r>
          </w:p>
        </w:tc>
        <w:tc>
          <w:tcPr>
            <w:tcW w:w="1330" w:type="dxa"/>
            <w:vMerge w:val="restart"/>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项目名称</w:t>
            </w:r>
          </w:p>
        </w:tc>
        <w:tc>
          <w:tcPr>
            <w:tcW w:w="1360" w:type="dxa"/>
            <w:vMerge w:val="restart"/>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项目特征</w:t>
            </w:r>
          </w:p>
          <w:p>
            <w:pPr>
              <w:wordWrap w:val="0"/>
              <w:adjustRightInd/>
              <w:spacing w:line="460" w:lineRule="exact"/>
              <w:jc w:val="center"/>
              <w:rPr>
                <w:rFonts w:cs="仿宋"/>
                <w:color w:val="auto"/>
                <w:highlight w:val="none"/>
              </w:rPr>
            </w:pPr>
            <w:r>
              <w:rPr>
                <w:rFonts w:hint="eastAsia" w:ascii="宋体" w:hAnsi="宋体" w:cs="仿宋"/>
                <w:color w:val="auto"/>
                <w:highlight w:val="none"/>
              </w:rPr>
              <w:t>描述</w:t>
            </w:r>
          </w:p>
        </w:tc>
        <w:tc>
          <w:tcPr>
            <w:tcW w:w="1320" w:type="dxa"/>
            <w:vMerge w:val="restart"/>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计量单位</w:t>
            </w:r>
          </w:p>
        </w:tc>
        <w:tc>
          <w:tcPr>
            <w:tcW w:w="1096" w:type="dxa"/>
            <w:vMerge w:val="restart"/>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工程量</w:t>
            </w:r>
          </w:p>
        </w:tc>
        <w:tc>
          <w:tcPr>
            <w:tcW w:w="1260" w:type="dxa"/>
            <w:vMerge w:val="restart"/>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综合单价</w:t>
            </w:r>
          </w:p>
          <w:p>
            <w:pPr>
              <w:wordWrap w:val="0"/>
              <w:adjustRightInd/>
              <w:spacing w:line="460" w:lineRule="exact"/>
              <w:jc w:val="center"/>
              <w:rPr>
                <w:rFonts w:cs="仿宋"/>
                <w:color w:val="auto"/>
                <w:highlight w:val="none"/>
              </w:rPr>
            </w:pPr>
            <w:r>
              <w:rPr>
                <w:rFonts w:hint="eastAsia" w:ascii="宋体" w:hAnsi="宋体" w:cs="仿宋"/>
                <w:color w:val="auto"/>
                <w:highlight w:val="none"/>
              </w:rPr>
              <w:t>(元)</w:t>
            </w:r>
          </w:p>
        </w:tc>
        <w:tc>
          <w:tcPr>
            <w:tcW w:w="1026" w:type="dxa"/>
            <w:vMerge w:val="restart"/>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合  价</w:t>
            </w:r>
          </w:p>
          <w:p>
            <w:pPr>
              <w:wordWrap w:val="0"/>
              <w:adjustRightInd/>
              <w:spacing w:line="460" w:lineRule="exact"/>
              <w:jc w:val="center"/>
              <w:rPr>
                <w:rFonts w:cs="仿宋"/>
                <w:color w:val="auto"/>
                <w:highlight w:val="none"/>
              </w:rPr>
            </w:pPr>
            <w:r>
              <w:rPr>
                <w:rFonts w:hint="eastAsia" w:ascii="宋体" w:hAnsi="宋体" w:cs="仿宋"/>
                <w:color w:val="auto"/>
                <w:highlight w:val="none"/>
              </w:rPr>
              <w:t>(元)</w:t>
            </w:r>
          </w:p>
        </w:tc>
        <w:tc>
          <w:tcPr>
            <w:tcW w:w="3608" w:type="dxa"/>
            <w:gridSpan w:val="5"/>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其中</w:t>
            </w:r>
          </w:p>
        </w:tc>
        <w:tc>
          <w:tcPr>
            <w:tcW w:w="923" w:type="dxa"/>
            <w:vMerge w:val="restart"/>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814" w:type="dxa"/>
            <w:vMerge w:val="continue"/>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ind w:firstLine="420" w:firstLineChars="200"/>
              <w:rPr>
                <w:rFonts w:cs="仿宋"/>
                <w:color w:val="auto"/>
                <w:highlight w:val="none"/>
              </w:rPr>
            </w:pPr>
          </w:p>
        </w:tc>
        <w:tc>
          <w:tcPr>
            <w:tcW w:w="1388" w:type="dxa"/>
            <w:vMerge w:val="continue"/>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ind w:firstLine="420" w:firstLineChars="200"/>
              <w:rPr>
                <w:rFonts w:cs="仿宋"/>
                <w:color w:val="auto"/>
                <w:highlight w:val="none"/>
              </w:rPr>
            </w:pPr>
          </w:p>
        </w:tc>
        <w:tc>
          <w:tcPr>
            <w:tcW w:w="1330" w:type="dxa"/>
            <w:vMerge w:val="continue"/>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ind w:firstLine="420" w:firstLineChars="200"/>
              <w:rPr>
                <w:rFonts w:cs="仿宋"/>
                <w:color w:val="auto"/>
                <w:highlight w:val="none"/>
              </w:rPr>
            </w:pPr>
          </w:p>
        </w:tc>
        <w:tc>
          <w:tcPr>
            <w:tcW w:w="1360" w:type="dxa"/>
            <w:vMerge w:val="continue"/>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ind w:firstLine="420" w:firstLineChars="200"/>
              <w:rPr>
                <w:rFonts w:cs="仿宋"/>
                <w:color w:val="auto"/>
                <w:highlight w:val="none"/>
              </w:rPr>
            </w:pPr>
          </w:p>
        </w:tc>
        <w:tc>
          <w:tcPr>
            <w:tcW w:w="1320" w:type="dxa"/>
            <w:vMerge w:val="continue"/>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ind w:firstLine="420" w:firstLineChars="200"/>
              <w:rPr>
                <w:rFonts w:cs="仿宋"/>
                <w:color w:val="auto"/>
                <w:highlight w:val="none"/>
              </w:rPr>
            </w:pPr>
          </w:p>
        </w:tc>
        <w:tc>
          <w:tcPr>
            <w:tcW w:w="1096" w:type="dxa"/>
            <w:vMerge w:val="continue"/>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ind w:firstLine="420" w:firstLineChars="200"/>
              <w:rPr>
                <w:rFonts w:cs="仿宋"/>
                <w:color w:val="auto"/>
                <w:highlight w:val="none"/>
              </w:rPr>
            </w:pPr>
          </w:p>
        </w:tc>
        <w:tc>
          <w:tcPr>
            <w:tcW w:w="1260" w:type="dxa"/>
            <w:vMerge w:val="continue"/>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ind w:firstLine="420" w:firstLineChars="200"/>
              <w:rPr>
                <w:rFonts w:cs="仿宋"/>
                <w:color w:val="auto"/>
                <w:highlight w:val="none"/>
              </w:rPr>
            </w:pPr>
          </w:p>
        </w:tc>
        <w:tc>
          <w:tcPr>
            <w:tcW w:w="1026" w:type="dxa"/>
            <w:vMerge w:val="continue"/>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ind w:firstLine="420" w:firstLineChars="200"/>
              <w:rPr>
                <w:rFonts w:cs="仿宋"/>
                <w:color w:val="auto"/>
                <w:highlight w:val="none"/>
              </w:rPr>
            </w:pPr>
          </w:p>
        </w:tc>
        <w:tc>
          <w:tcPr>
            <w:tcW w:w="1260" w:type="dxa"/>
            <w:gridSpan w:val="2"/>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人工费</w:t>
            </w:r>
          </w:p>
        </w:tc>
        <w:tc>
          <w:tcPr>
            <w:tcW w:w="1260" w:type="dxa"/>
            <w:gridSpan w:val="2"/>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机械费</w:t>
            </w:r>
          </w:p>
        </w:tc>
        <w:tc>
          <w:tcPr>
            <w:tcW w:w="1088"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管理费</w:t>
            </w:r>
          </w:p>
        </w:tc>
        <w:tc>
          <w:tcPr>
            <w:tcW w:w="923" w:type="dxa"/>
            <w:vMerge w:val="continue"/>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ind w:firstLine="420" w:firstLineChars="200"/>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（1）</w:t>
            </w:r>
          </w:p>
        </w:tc>
        <w:tc>
          <w:tcPr>
            <w:tcW w:w="1388"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（2）</w:t>
            </w:r>
          </w:p>
        </w:tc>
        <w:tc>
          <w:tcPr>
            <w:tcW w:w="133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（3）</w:t>
            </w:r>
          </w:p>
        </w:tc>
        <w:tc>
          <w:tcPr>
            <w:tcW w:w="136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（4）</w:t>
            </w:r>
          </w:p>
        </w:tc>
        <w:tc>
          <w:tcPr>
            <w:tcW w:w="132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（5）</w:t>
            </w:r>
          </w:p>
        </w:tc>
        <w:tc>
          <w:tcPr>
            <w:tcW w:w="1096"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（6）</w:t>
            </w:r>
          </w:p>
        </w:tc>
        <w:tc>
          <w:tcPr>
            <w:tcW w:w="126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026"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25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253" w:type="dxa"/>
            <w:gridSpan w:val="2"/>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101" w:type="dxa"/>
            <w:gridSpan w:val="2"/>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923"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388"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33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36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32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096"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26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026"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25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253" w:type="dxa"/>
            <w:gridSpan w:val="2"/>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101" w:type="dxa"/>
            <w:gridSpan w:val="2"/>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923"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388"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33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36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32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096"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26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026"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25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253" w:type="dxa"/>
            <w:gridSpan w:val="2"/>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101" w:type="dxa"/>
            <w:gridSpan w:val="2"/>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923"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388"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33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36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32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096"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26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026"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25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253" w:type="dxa"/>
            <w:gridSpan w:val="2"/>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101" w:type="dxa"/>
            <w:gridSpan w:val="2"/>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923"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68" w:type="dxa"/>
            <w:gridSpan w:val="7"/>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合    计</w:t>
            </w:r>
          </w:p>
        </w:tc>
        <w:tc>
          <w:tcPr>
            <w:tcW w:w="1026"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260" w:type="dxa"/>
            <w:gridSpan w:val="2"/>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260" w:type="dxa"/>
            <w:gridSpan w:val="2"/>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088"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923"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r>
    </w:tbl>
    <w:p>
      <w:pPr>
        <w:wordWrap w:val="0"/>
        <w:adjustRightInd/>
        <w:spacing w:line="460" w:lineRule="exact"/>
        <w:ind w:firstLine="420" w:firstLineChars="200"/>
        <w:rPr>
          <w:rFonts w:cs="仿宋"/>
          <w:color w:val="auto"/>
          <w:highlight w:val="none"/>
        </w:rPr>
      </w:pPr>
    </w:p>
    <w:p>
      <w:pPr>
        <w:wordWrap w:val="0"/>
        <w:adjustRightInd/>
        <w:spacing w:line="460" w:lineRule="exact"/>
        <w:ind w:firstLine="420" w:firstLineChars="200"/>
        <w:rPr>
          <w:rFonts w:cs="仿宋"/>
          <w:color w:val="auto"/>
          <w:highlight w:val="none"/>
        </w:rPr>
      </w:pPr>
      <w:r>
        <w:rPr>
          <w:rFonts w:hint="eastAsia" w:ascii="宋体" w:hAnsi="宋体" w:cs="仿宋"/>
          <w:color w:val="auto"/>
          <w:highlight w:val="none"/>
        </w:rPr>
        <w:t>注：表中（1）～〔6）栏由招标人提供内容，（7）栏由招标人按需提出要求，如招标人需要投标人提供清单项目综合单价的计算分析和工料机分析，请在（7）备注中明确。</w:t>
      </w:r>
    </w:p>
    <w:p>
      <w:pPr>
        <w:pStyle w:val="862"/>
        <w:ind w:firstLine="480"/>
        <w:rPr>
          <w:rFonts w:cs="仿宋"/>
          <w:color w:val="auto"/>
          <w:highlight w:val="none"/>
        </w:rPr>
      </w:pPr>
    </w:p>
    <w:p>
      <w:pPr>
        <w:pStyle w:val="862"/>
        <w:ind w:firstLine="480"/>
        <w:rPr>
          <w:rFonts w:cs="仿宋"/>
          <w:color w:val="auto"/>
          <w:highlight w:val="none"/>
        </w:rPr>
      </w:pPr>
    </w:p>
    <w:p>
      <w:pPr>
        <w:ind w:firstLine="480"/>
        <w:rPr>
          <w:color w:val="auto"/>
          <w:highlight w:val="none"/>
        </w:rPr>
        <w:sectPr>
          <w:pgSz w:w="15840" w:h="12240" w:orient="landscape"/>
          <w:pgMar w:top="1531" w:right="1304" w:bottom="964" w:left="964" w:header="720" w:footer="720" w:gutter="0"/>
          <w:cols w:space="720" w:num="1"/>
          <w:titlePg/>
          <w:docGrid w:linePitch="312" w:charSpace="0"/>
        </w:sectPr>
      </w:pPr>
    </w:p>
    <w:p>
      <w:pPr>
        <w:wordWrap w:val="0"/>
        <w:jc w:val="center"/>
        <w:outlineLvl w:val="4"/>
        <w:rPr>
          <w:rFonts w:cs="仿宋"/>
          <w:b/>
          <w:bCs/>
          <w:color w:val="auto"/>
          <w:sz w:val="32"/>
          <w:szCs w:val="28"/>
          <w:highlight w:val="none"/>
        </w:rPr>
      </w:pPr>
      <w:r>
        <w:rPr>
          <w:rFonts w:hint="eastAsia" w:ascii="宋体" w:hAnsi="宋体" w:cs="仿宋"/>
          <w:b/>
          <w:bCs/>
          <w:color w:val="auto"/>
          <w:sz w:val="32"/>
          <w:szCs w:val="28"/>
          <w:highlight w:val="none"/>
        </w:rPr>
        <w:t>表1-3-A  组织措施项目（整体）清单及计价表</w:t>
      </w:r>
    </w:p>
    <w:p>
      <w:pPr>
        <w:wordWrap w:val="0"/>
        <w:adjustRightInd/>
        <w:spacing w:line="460" w:lineRule="exact"/>
        <w:rPr>
          <w:rFonts w:cs="仿宋"/>
          <w:color w:val="auto"/>
          <w:highlight w:val="none"/>
        </w:rPr>
      </w:pPr>
      <w:r>
        <w:rPr>
          <w:rFonts w:hint="eastAsia" w:ascii="宋体" w:hAnsi="宋体" w:cs="仿宋"/>
          <w:color w:val="auto"/>
          <w:highlight w:val="none"/>
        </w:rPr>
        <w:t>工程名称：</w:t>
      </w:r>
    </w:p>
    <w:p>
      <w:pPr>
        <w:wordWrap w:val="0"/>
        <w:adjustRightInd/>
        <w:spacing w:line="460" w:lineRule="exact"/>
        <w:ind w:firstLine="420" w:firstLineChars="200"/>
        <w:jc w:val="right"/>
        <w:rPr>
          <w:rFonts w:cs="仿宋"/>
          <w:color w:val="auto"/>
          <w:highlight w:val="none"/>
        </w:rPr>
      </w:pPr>
      <w:r>
        <w:rPr>
          <w:rFonts w:hint="eastAsia" w:ascii="宋体" w:hAnsi="宋体" w:cs="仿宋"/>
          <w:color w:val="auto"/>
          <w:highlight w:val="none"/>
        </w:rPr>
        <w:t>第   页共   页</w:t>
      </w:r>
    </w:p>
    <w:tbl>
      <w:tblPr>
        <w:tblStyle w:val="63"/>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
        <w:gridCol w:w="2707"/>
        <w:gridCol w:w="963"/>
        <w:gridCol w:w="1080"/>
        <w:gridCol w:w="1327"/>
        <w:gridCol w:w="2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938"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序号</w:t>
            </w:r>
          </w:p>
        </w:tc>
        <w:tc>
          <w:tcPr>
            <w:tcW w:w="2707"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项目名称</w:t>
            </w:r>
          </w:p>
        </w:tc>
        <w:tc>
          <w:tcPr>
            <w:tcW w:w="963"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单位</w:t>
            </w:r>
          </w:p>
        </w:tc>
        <w:tc>
          <w:tcPr>
            <w:tcW w:w="108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数量</w:t>
            </w:r>
          </w:p>
        </w:tc>
        <w:tc>
          <w:tcPr>
            <w:tcW w:w="1327"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金额(元)</w:t>
            </w:r>
          </w:p>
        </w:tc>
        <w:tc>
          <w:tcPr>
            <w:tcW w:w="2813"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ind w:firstLine="420" w:firstLineChars="200"/>
              <w:jc w:val="center"/>
              <w:rPr>
                <w:rFonts w:cs="仿宋"/>
                <w:color w:val="auto"/>
                <w:highlight w:val="none"/>
              </w:rPr>
            </w:pPr>
            <w:r>
              <w:rPr>
                <w:rFonts w:hint="eastAsia" w:ascii="宋体" w:hAnsi="宋体" w:cs="仿宋"/>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4" w:hRule="atLeast"/>
        </w:trPr>
        <w:tc>
          <w:tcPr>
            <w:tcW w:w="938"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r>
              <w:rPr>
                <w:rFonts w:hint="eastAsia" w:ascii="宋体" w:hAnsi="宋体" w:cs="仿宋"/>
                <w:color w:val="auto"/>
                <w:highlight w:val="none"/>
              </w:rPr>
              <w:t>（1）</w:t>
            </w:r>
          </w:p>
          <w:p>
            <w:pPr>
              <w:wordWrap w:val="0"/>
              <w:adjustRightInd/>
              <w:spacing w:line="460" w:lineRule="exact"/>
              <w:jc w:val="center"/>
              <w:rPr>
                <w:rFonts w:cs="仿宋"/>
                <w:color w:val="auto"/>
                <w:highlight w:val="none"/>
              </w:rPr>
            </w:pPr>
            <w:r>
              <w:rPr>
                <w:rFonts w:hint="eastAsia" w:ascii="宋体" w:hAnsi="宋体" w:cs="仿宋"/>
                <w:color w:val="auto"/>
                <w:highlight w:val="none"/>
              </w:rPr>
              <w:t>一</w:t>
            </w:r>
          </w:p>
          <w:p>
            <w:pPr>
              <w:wordWrap w:val="0"/>
              <w:adjustRightInd/>
              <w:spacing w:line="460" w:lineRule="exact"/>
              <w:jc w:val="center"/>
              <w:rPr>
                <w:rFonts w:cs="仿宋"/>
                <w:color w:val="auto"/>
                <w:highlight w:val="none"/>
              </w:rPr>
            </w:pPr>
            <w:r>
              <w:rPr>
                <w:rFonts w:hint="eastAsia" w:ascii="宋体" w:hAnsi="宋体" w:cs="仿宋"/>
                <w:color w:val="auto"/>
                <w:highlight w:val="none"/>
              </w:rPr>
              <w:t>二</w:t>
            </w:r>
          </w:p>
          <w:p>
            <w:pPr>
              <w:wordWrap w:val="0"/>
              <w:adjustRightInd/>
              <w:spacing w:line="460" w:lineRule="exact"/>
              <w:jc w:val="center"/>
              <w:rPr>
                <w:rFonts w:cs="仿宋"/>
                <w:color w:val="auto"/>
                <w:highlight w:val="none"/>
              </w:rPr>
            </w:pPr>
            <w:r>
              <w:rPr>
                <w:rFonts w:hint="eastAsia" w:ascii="宋体" w:hAnsi="宋体" w:cs="仿宋"/>
                <w:color w:val="auto"/>
                <w:highlight w:val="none"/>
              </w:rPr>
              <w:t>1</w:t>
            </w:r>
          </w:p>
          <w:p>
            <w:pPr>
              <w:wordWrap w:val="0"/>
              <w:adjustRightInd/>
              <w:spacing w:line="460" w:lineRule="exact"/>
              <w:jc w:val="center"/>
              <w:rPr>
                <w:rFonts w:cs="仿宋"/>
                <w:color w:val="auto"/>
                <w:highlight w:val="none"/>
              </w:rPr>
            </w:pPr>
            <w:r>
              <w:rPr>
                <w:rFonts w:hint="eastAsia" w:ascii="宋体" w:hAnsi="宋体" w:cs="仿宋"/>
                <w:color w:val="auto"/>
                <w:highlight w:val="none"/>
              </w:rPr>
              <w:t>2</w:t>
            </w:r>
          </w:p>
          <w:p>
            <w:pPr>
              <w:wordWrap w:val="0"/>
              <w:adjustRightInd/>
              <w:spacing w:line="460" w:lineRule="exact"/>
              <w:jc w:val="center"/>
              <w:rPr>
                <w:rFonts w:cs="仿宋"/>
                <w:color w:val="auto"/>
                <w:highlight w:val="none"/>
              </w:rPr>
            </w:pPr>
            <w:r>
              <w:rPr>
                <w:rFonts w:hint="eastAsia" w:ascii="宋体" w:hAnsi="宋体" w:cs="仿宋"/>
                <w:color w:val="auto"/>
                <w:highlight w:val="none"/>
              </w:rPr>
              <w:t>3</w:t>
            </w:r>
          </w:p>
          <w:p>
            <w:pPr>
              <w:wordWrap w:val="0"/>
              <w:adjustRightInd/>
              <w:spacing w:line="460" w:lineRule="exact"/>
              <w:jc w:val="center"/>
              <w:rPr>
                <w:rFonts w:cs="仿宋"/>
                <w:color w:val="auto"/>
                <w:highlight w:val="none"/>
              </w:rPr>
            </w:pPr>
            <w:r>
              <w:rPr>
                <w:rFonts w:hint="eastAsia" w:ascii="宋体" w:hAnsi="宋体" w:cs="仿宋"/>
                <w:color w:val="auto"/>
                <w:highlight w:val="none"/>
              </w:rPr>
              <w:t>4</w:t>
            </w:r>
          </w:p>
          <w:p>
            <w:pPr>
              <w:wordWrap w:val="0"/>
              <w:adjustRightInd/>
              <w:spacing w:line="460" w:lineRule="exact"/>
              <w:jc w:val="center"/>
              <w:rPr>
                <w:rFonts w:cs="仿宋"/>
                <w:color w:val="auto"/>
                <w:highlight w:val="none"/>
              </w:rPr>
            </w:pPr>
          </w:p>
          <w:p>
            <w:pPr>
              <w:wordWrap w:val="0"/>
              <w:adjustRightInd/>
              <w:spacing w:line="460" w:lineRule="exact"/>
              <w:jc w:val="center"/>
              <w:rPr>
                <w:rFonts w:cs="仿宋"/>
                <w:color w:val="auto"/>
                <w:highlight w:val="none"/>
              </w:rPr>
            </w:pPr>
          </w:p>
          <w:p>
            <w:pPr>
              <w:wordWrap w:val="0"/>
              <w:adjustRightInd/>
              <w:spacing w:line="460" w:lineRule="exact"/>
              <w:jc w:val="center"/>
              <w:rPr>
                <w:rFonts w:cs="仿宋"/>
                <w:color w:val="auto"/>
                <w:highlight w:val="none"/>
              </w:rPr>
            </w:pPr>
          </w:p>
          <w:p>
            <w:pPr>
              <w:wordWrap w:val="0"/>
              <w:adjustRightInd/>
              <w:spacing w:line="460" w:lineRule="exact"/>
              <w:rPr>
                <w:rFonts w:cs="仿宋"/>
                <w:color w:val="auto"/>
                <w:highlight w:val="none"/>
              </w:rPr>
            </w:pPr>
          </w:p>
        </w:tc>
        <w:tc>
          <w:tcPr>
            <w:tcW w:w="2707"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rPr>
                <w:rFonts w:cs="仿宋"/>
                <w:color w:val="auto"/>
                <w:highlight w:val="none"/>
              </w:rPr>
            </w:pPr>
            <w:r>
              <w:rPr>
                <w:rFonts w:hint="eastAsia" w:ascii="宋体" w:hAnsi="宋体" w:cs="仿宋"/>
                <w:color w:val="auto"/>
                <w:highlight w:val="none"/>
              </w:rPr>
              <w:t>（2）</w:t>
            </w:r>
          </w:p>
          <w:p>
            <w:pPr>
              <w:wordWrap w:val="0"/>
              <w:adjustRightInd/>
              <w:spacing w:line="460" w:lineRule="exact"/>
              <w:rPr>
                <w:rFonts w:cs="仿宋"/>
                <w:color w:val="auto"/>
                <w:highlight w:val="none"/>
              </w:rPr>
            </w:pPr>
            <w:r>
              <w:rPr>
                <w:rFonts w:hint="eastAsia" w:ascii="宋体" w:hAnsi="宋体" w:cs="仿宋"/>
                <w:color w:val="auto"/>
                <w:highlight w:val="none"/>
              </w:rPr>
              <w:t>安全文明施工措施项目</w:t>
            </w:r>
          </w:p>
          <w:p>
            <w:pPr>
              <w:wordWrap w:val="0"/>
              <w:adjustRightInd/>
              <w:spacing w:line="460" w:lineRule="exact"/>
              <w:rPr>
                <w:rFonts w:cs="仿宋"/>
                <w:color w:val="auto"/>
                <w:highlight w:val="none"/>
              </w:rPr>
            </w:pPr>
            <w:r>
              <w:rPr>
                <w:rFonts w:hint="eastAsia" w:ascii="宋体" w:hAnsi="宋体" w:cs="仿宋"/>
                <w:color w:val="auto"/>
                <w:highlight w:val="none"/>
              </w:rPr>
              <w:t>其他组织措施项目</w:t>
            </w:r>
          </w:p>
          <w:p>
            <w:pPr>
              <w:wordWrap w:val="0"/>
              <w:adjustRightInd/>
              <w:spacing w:line="460" w:lineRule="exact"/>
              <w:rPr>
                <w:rFonts w:cs="仿宋"/>
                <w:color w:val="auto"/>
                <w:highlight w:val="none"/>
              </w:rPr>
            </w:pPr>
            <w:r>
              <w:rPr>
                <w:rFonts w:hint="eastAsia" w:ascii="宋体" w:hAnsi="宋体" w:cs="仿宋"/>
                <w:color w:val="auto"/>
                <w:highlight w:val="none"/>
              </w:rPr>
              <w:t>提前竣工增加费</w:t>
            </w:r>
          </w:p>
          <w:p>
            <w:pPr>
              <w:wordWrap w:val="0"/>
              <w:adjustRightInd/>
              <w:spacing w:line="460" w:lineRule="exact"/>
              <w:rPr>
                <w:rFonts w:cs="仿宋"/>
                <w:color w:val="auto"/>
                <w:highlight w:val="none"/>
              </w:rPr>
            </w:pPr>
            <w:r>
              <w:rPr>
                <w:rFonts w:hint="eastAsia" w:ascii="宋体" w:hAnsi="宋体" w:cs="仿宋"/>
                <w:color w:val="auto"/>
                <w:highlight w:val="none"/>
              </w:rPr>
              <w:t>二次搬运费</w:t>
            </w:r>
          </w:p>
          <w:p>
            <w:pPr>
              <w:wordWrap w:val="0"/>
              <w:adjustRightInd/>
              <w:spacing w:line="460" w:lineRule="exact"/>
              <w:rPr>
                <w:rFonts w:cs="仿宋"/>
                <w:color w:val="auto"/>
                <w:highlight w:val="none"/>
              </w:rPr>
            </w:pPr>
            <w:r>
              <w:rPr>
                <w:rFonts w:hint="eastAsia" w:ascii="宋体" w:hAnsi="宋体" w:cs="仿宋"/>
                <w:color w:val="auto"/>
                <w:highlight w:val="none"/>
              </w:rPr>
              <w:t>冬雨季施工增加费</w:t>
            </w:r>
          </w:p>
          <w:p>
            <w:pPr>
              <w:wordWrap w:val="0"/>
              <w:adjustRightInd/>
              <w:spacing w:line="460" w:lineRule="exact"/>
              <w:rPr>
                <w:rFonts w:cs="仿宋"/>
                <w:color w:val="auto"/>
                <w:highlight w:val="none"/>
              </w:rPr>
            </w:pPr>
            <w:r>
              <w:rPr>
                <w:rFonts w:hint="eastAsia" w:ascii="宋体" w:hAnsi="宋体" w:cs="仿宋"/>
                <w:color w:val="auto"/>
                <w:highlight w:val="none"/>
              </w:rPr>
              <w:t>行车、行人干扰增加费</w:t>
            </w:r>
          </w:p>
        </w:tc>
        <w:tc>
          <w:tcPr>
            <w:tcW w:w="963"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rPr>
                <w:rFonts w:cs="仿宋"/>
                <w:color w:val="auto"/>
                <w:highlight w:val="none"/>
              </w:rPr>
            </w:pPr>
          </w:p>
        </w:tc>
        <w:tc>
          <w:tcPr>
            <w:tcW w:w="108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rPr>
                <w:rFonts w:cs="仿宋"/>
                <w:color w:val="auto"/>
                <w:highlight w:val="none"/>
              </w:rPr>
            </w:pPr>
          </w:p>
        </w:tc>
        <w:tc>
          <w:tcPr>
            <w:tcW w:w="1327"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rPr>
                <w:rFonts w:cs="仿宋"/>
                <w:color w:val="auto"/>
                <w:highlight w:val="none"/>
              </w:rPr>
            </w:pPr>
          </w:p>
        </w:tc>
        <w:tc>
          <w:tcPr>
            <w:tcW w:w="2813"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p>
            <w:pPr>
              <w:wordWrap w:val="0"/>
              <w:adjustRightInd/>
              <w:spacing w:line="460" w:lineRule="exact"/>
              <w:jc w:val="center"/>
              <w:rPr>
                <w:rFonts w:cs="仿宋"/>
                <w:color w:val="auto"/>
                <w:highlight w:val="none"/>
              </w:rPr>
            </w:pPr>
            <w:r>
              <w:rPr>
                <w:rFonts w:hint="eastAsia" w:ascii="宋体" w:hAnsi="宋体" w:cs="仿宋"/>
                <w:color w:val="auto"/>
                <w:highlight w:val="none"/>
              </w:rPr>
              <w:t>提供分析清单</w:t>
            </w:r>
          </w:p>
          <w:p>
            <w:pPr>
              <w:wordWrap w:val="0"/>
              <w:adjustRightInd/>
              <w:spacing w:line="460" w:lineRule="exact"/>
              <w:jc w:val="center"/>
              <w:rPr>
                <w:rFonts w:cs="仿宋"/>
                <w:color w:val="auto"/>
                <w:highlight w:val="none"/>
              </w:rPr>
            </w:pPr>
            <w:r>
              <w:rPr>
                <w:rFonts w:hint="eastAsia" w:ascii="宋体" w:hAnsi="宋体" w:cs="仿宋"/>
                <w:color w:val="auto"/>
                <w:highlight w:val="none"/>
              </w:rPr>
              <w:t>（表1-3-A-1）</w:t>
            </w:r>
          </w:p>
          <w:p>
            <w:pPr>
              <w:wordWrap w:val="0"/>
              <w:adjustRightInd/>
              <w:spacing w:line="460" w:lineRule="exact"/>
              <w:ind w:firstLine="420" w:firstLineChars="200"/>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5688" w:type="dxa"/>
            <w:gridSpan w:val="4"/>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rPr>
                <w:rFonts w:cs="仿宋"/>
                <w:color w:val="auto"/>
                <w:highlight w:val="none"/>
              </w:rPr>
            </w:pPr>
            <w:r>
              <w:rPr>
                <w:rFonts w:hint="eastAsia" w:ascii="宋体" w:hAnsi="宋体" w:cs="仿宋"/>
                <w:color w:val="auto"/>
                <w:highlight w:val="none"/>
              </w:rPr>
              <w:t>合计</w:t>
            </w:r>
          </w:p>
        </w:tc>
        <w:tc>
          <w:tcPr>
            <w:tcW w:w="1327"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rPr>
                <w:rFonts w:cs="仿宋"/>
                <w:color w:val="auto"/>
                <w:highlight w:val="none"/>
              </w:rPr>
            </w:pPr>
          </w:p>
        </w:tc>
        <w:tc>
          <w:tcPr>
            <w:tcW w:w="2813"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rPr>
                <w:rFonts w:cs="仿宋"/>
                <w:color w:val="auto"/>
                <w:highlight w:val="none"/>
              </w:rPr>
            </w:pPr>
          </w:p>
        </w:tc>
      </w:tr>
    </w:tbl>
    <w:p>
      <w:pPr>
        <w:wordWrap w:val="0"/>
        <w:adjustRightInd/>
        <w:spacing w:line="460" w:lineRule="exact"/>
        <w:ind w:firstLine="420" w:firstLineChars="200"/>
        <w:rPr>
          <w:rFonts w:cs="仿宋"/>
          <w:color w:val="auto"/>
          <w:highlight w:val="none"/>
        </w:rPr>
      </w:pPr>
      <w:r>
        <w:rPr>
          <w:rFonts w:hint="eastAsia" w:ascii="宋体" w:hAnsi="宋体" w:cs="仿宋"/>
          <w:color w:val="auto"/>
          <w:highlight w:val="none"/>
        </w:rPr>
        <w:t>注：1.表中列项供参考，（1）、（2）栏由招标人提供，投标人可按工程实际作补充。</w:t>
      </w:r>
    </w:p>
    <w:p>
      <w:pPr>
        <w:wordWrap w:val="0"/>
        <w:adjustRightInd/>
        <w:spacing w:line="460" w:lineRule="exact"/>
        <w:ind w:firstLine="420" w:firstLineChars="200"/>
        <w:rPr>
          <w:rFonts w:cs="仿宋"/>
          <w:color w:val="auto"/>
          <w:highlight w:val="none"/>
        </w:rPr>
      </w:pPr>
      <w:r>
        <w:rPr>
          <w:rFonts w:hint="eastAsia" w:ascii="宋体" w:hAnsi="宋体" w:cs="仿宋"/>
          <w:color w:val="auto"/>
          <w:highlight w:val="none"/>
        </w:rPr>
        <w:t>2.措施项目应分整体措施项目和专业工程措施项目，安全文明施工措施项目（包括环境保护、文明施工、安全施工、临时设施）以及工程定位复测费应按招标项目整体报价，其他组织措施项目由投标人根据工程实际自行决定按整体项目还是按专业工程清单报价（专业工程组织措施项目清单见表1-3-B）。</w:t>
      </w:r>
    </w:p>
    <w:p>
      <w:pPr>
        <w:wordWrap w:val="0"/>
        <w:adjustRightInd/>
        <w:spacing w:line="460" w:lineRule="exact"/>
        <w:ind w:firstLine="420" w:firstLineChars="200"/>
        <w:rPr>
          <w:rFonts w:cs="仿宋"/>
          <w:color w:val="auto"/>
          <w:highlight w:val="none"/>
        </w:rPr>
      </w:pPr>
      <w:r>
        <w:rPr>
          <w:rFonts w:hint="eastAsia" w:ascii="宋体" w:hAnsi="宋体" w:cs="仿宋"/>
          <w:color w:val="auto"/>
          <w:highlight w:val="none"/>
        </w:rPr>
        <w:t>3.专业工程组织措施项目清单表1-3-B中已报价的组织措施费不得与整体组织措施项目清单表1-3-A中的其他组织措施项目重复报价。</w:t>
      </w:r>
    </w:p>
    <w:p>
      <w:pPr>
        <w:wordWrap w:val="0"/>
        <w:jc w:val="center"/>
        <w:outlineLvl w:val="4"/>
        <w:rPr>
          <w:rFonts w:cs="仿宋"/>
          <w:b/>
          <w:bCs/>
          <w:color w:val="auto"/>
          <w:sz w:val="32"/>
          <w:szCs w:val="28"/>
          <w:highlight w:val="none"/>
        </w:rPr>
      </w:pPr>
      <w:r>
        <w:rPr>
          <w:rFonts w:hint="eastAsia" w:ascii="宋体" w:hAnsi="宋体" w:cs="仿宋"/>
          <w:b/>
          <w:bCs/>
          <w:color w:val="auto"/>
          <w:sz w:val="32"/>
          <w:szCs w:val="28"/>
          <w:highlight w:val="none"/>
        </w:rPr>
        <w:br w:type="page"/>
      </w:r>
      <w:r>
        <w:rPr>
          <w:rFonts w:hint="eastAsia" w:ascii="宋体" w:hAnsi="宋体" w:cs="仿宋"/>
          <w:b/>
          <w:bCs/>
          <w:color w:val="auto"/>
          <w:sz w:val="32"/>
          <w:szCs w:val="28"/>
          <w:highlight w:val="none"/>
        </w:rPr>
        <w:t>表1-3-B  组织措施项目（专业工程）清单及计价表</w:t>
      </w:r>
    </w:p>
    <w:p>
      <w:pPr>
        <w:wordWrap w:val="0"/>
        <w:adjustRightInd/>
        <w:spacing w:line="460" w:lineRule="exact"/>
        <w:rPr>
          <w:rFonts w:cs="仿宋"/>
          <w:color w:val="auto"/>
          <w:highlight w:val="none"/>
        </w:rPr>
      </w:pPr>
      <w:r>
        <w:rPr>
          <w:rFonts w:hint="eastAsia" w:ascii="宋体" w:hAnsi="宋体" w:cs="仿宋"/>
          <w:color w:val="auto"/>
          <w:highlight w:val="none"/>
        </w:rPr>
        <w:t xml:space="preserve">工程名称：                                            </w:t>
      </w:r>
    </w:p>
    <w:p>
      <w:pPr>
        <w:wordWrap w:val="0"/>
        <w:adjustRightInd/>
        <w:spacing w:line="460" w:lineRule="exact"/>
        <w:rPr>
          <w:rFonts w:cs="仿宋"/>
          <w:color w:val="auto"/>
          <w:highlight w:val="none"/>
        </w:rPr>
      </w:pPr>
      <w:r>
        <w:rPr>
          <w:rFonts w:hint="eastAsia" w:ascii="宋体" w:hAnsi="宋体" w:cs="仿宋"/>
          <w:color w:val="auto"/>
          <w:highlight w:val="none"/>
        </w:rPr>
        <w:t>单位工程及专业工程名称：                                          第   页共   页</w:t>
      </w:r>
    </w:p>
    <w:tbl>
      <w:tblPr>
        <w:tblStyle w:val="63"/>
        <w:tblW w:w="9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2612"/>
        <w:gridCol w:w="950"/>
        <w:gridCol w:w="890"/>
        <w:gridCol w:w="1661"/>
        <w:gridCol w:w="2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83"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序号</w:t>
            </w:r>
          </w:p>
        </w:tc>
        <w:tc>
          <w:tcPr>
            <w:tcW w:w="2612"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项目名称</w:t>
            </w:r>
          </w:p>
        </w:tc>
        <w:tc>
          <w:tcPr>
            <w:tcW w:w="95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单位</w:t>
            </w:r>
          </w:p>
        </w:tc>
        <w:tc>
          <w:tcPr>
            <w:tcW w:w="89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数量</w:t>
            </w:r>
          </w:p>
        </w:tc>
        <w:tc>
          <w:tcPr>
            <w:tcW w:w="1661"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金额(元)</w:t>
            </w:r>
          </w:p>
        </w:tc>
        <w:tc>
          <w:tcPr>
            <w:tcW w:w="264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0" w:hRule="atLeast"/>
        </w:trPr>
        <w:tc>
          <w:tcPr>
            <w:tcW w:w="983"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r>
              <w:rPr>
                <w:rFonts w:hint="eastAsia" w:ascii="宋体" w:hAnsi="宋体" w:cs="仿宋"/>
                <w:color w:val="auto"/>
                <w:highlight w:val="none"/>
              </w:rPr>
              <w:t>（1）</w:t>
            </w:r>
          </w:p>
          <w:p>
            <w:pPr>
              <w:wordWrap w:val="0"/>
              <w:adjustRightInd/>
              <w:spacing w:line="460" w:lineRule="exact"/>
              <w:jc w:val="center"/>
              <w:rPr>
                <w:rFonts w:cs="仿宋"/>
                <w:color w:val="auto"/>
                <w:highlight w:val="none"/>
              </w:rPr>
            </w:pPr>
            <w:r>
              <w:rPr>
                <w:rFonts w:hint="eastAsia" w:ascii="宋体" w:hAnsi="宋体" w:cs="仿宋"/>
                <w:color w:val="auto"/>
                <w:highlight w:val="none"/>
              </w:rPr>
              <w:t>1</w:t>
            </w:r>
          </w:p>
          <w:p>
            <w:pPr>
              <w:wordWrap w:val="0"/>
              <w:adjustRightInd/>
              <w:spacing w:line="460" w:lineRule="exact"/>
              <w:jc w:val="center"/>
              <w:rPr>
                <w:rFonts w:cs="仿宋"/>
                <w:color w:val="auto"/>
                <w:highlight w:val="none"/>
              </w:rPr>
            </w:pPr>
            <w:r>
              <w:rPr>
                <w:rFonts w:hint="eastAsia" w:ascii="宋体" w:hAnsi="宋体" w:cs="仿宋"/>
                <w:color w:val="auto"/>
                <w:highlight w:val="none"/>
              </w:rPr>
              <w:t>2</w:t>
            </w:r>
          </w:p>
          <w:p>
            <w:pPr>
              <w:wordWrap w:val="0"/>
              <w:adjustRightInd/>
              <w:spacing w:line="460" w:lineRule="exact"/>
              <w:jc w:val="center"/>
              <w:rPr>
                <w:rFonts w:cs="仿宋"/>
                <w:color w:val="auto"/>
                <w:highlight w:val="none"/>
              </w:rPr>
            </w:pPr>
            <w:r>
              <w:rPr>
                <w:rFonts w:hint="eastAsia" w:ascii="宋体" w:hAnsi="宋体" w:cs="仿宋"/>
                <w:color w:val="auto"/>
                <w:highlight w:val="none"/>
              </w:rPr>
              <w:t>3</w:t>
            </w:r>
          </w:p>
          <w:p>
            <w:pPr>
              <w:wordWrap w:val="0"/>
              <w:adjustRightInd/>
              <w:spacing w:line="460" w:lineRule="exact"/>
              <w:jc w:val="center"/>
              <w:rPr>
                <w:rFonts w:cs="仿宋"/>
                <w:color w:val="auto"/>
                <w:highlight w:val="none"/>
              </w:rPr>
            </w:pPr>
            <w:r>
              <w:rPr>
                <w:rFonts w:hint="eastAsia" w:ascii="宋体" w:hAnsi="宋体" w:cs="仿宋"/>
                <w:color w:val="auto"/>
                <w:highlight w:val="none"/>
              </w:rPr>
              <w:t>4</w:t>
            </w:r>
          </w:p>
          <w:p>
            <w:pPr>
              <w:wordWrap w:val="0"/>
              <w:adjustRightInd/>
              <w:spacing w:line="460" w:lineRule="exact"/>
              <w:jc w:val="center"/>
              <w:rPr>
                <w:rFonts w:cs="仿宋"/>
                <w:color w:val="auto"/>
                <w:highlight w:val="none"/>
              </w:rPr>
            </w:pPr>
          </w:p>
        </w:tc>
        <w:tc>
          <w:tcPr>
            <w:tcW w:w="2612"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rPr>
                <w:rFonts w:cs="仿宋"/>
                <w:color w:val="auto"/>
                <w:highlight w:val="none"/>
              </w:rPr>
            </w:pPr>
            <w:r>
              <w:rPr>
                <w:rFonts w:hint="eastAsia" w:ascii="宋体" w:hAnsi="宋体" w:cs="仿宋"/>
                <w:color w:val="auto"/>
                <w:highlight w:val="none"/>
              </w:rPr>
              <w:t>（2）</w:t>
            </w:r>
          </w:p>
          <w:p>
            <w:pPr>
              <w:wordWrap w:val="0"/>
              <w:adjustRightInd/>
              <w:spacing w:line="460" w:lineRule="exact"/>
              <w:rPr>
                <w:rFonts w:cs="仿宋"/>
                <w:color w:val="auto"/>
                <w:highlight w:val="none"/>
              </w:rPr>
            </w:pPr>
            <w:r>
              <w:rPr>
                <w:rFonts w:hint="eastAsia" w:ascii="宋体" w:hAnsi="宋体" w:cs="仿宋"/>
                <w:color w:val="auto"/>
                <w:highlight w:val="none"/>
              </w:rPr>
              <w:t>提前竣工增加费</w:t>
            </w:r>
          </w:p>
          <w:p>
            <w:pPr>
              <w:wordWrap w:val="0"/>
              <w:adjustRightInd/>
              <w:spacing w:line="460" w:lineRule="exact"/>
              <w:rPr>
                <w:rFonts w:cs="仿宋"/>
                <w:color w:val="auto"/>
                <w:highlight w:val="none"/>
              </w:rPr>
            </w:pPr>
            <w:r>
              <w:rPr>
                <w:rFonts w:hint="eastAsia" w:ascii="宋体" w:hAnsi="宋体" w:cs="仿宋"/>
                <w:color w:val="auto"/>
                <w:highlight w:val="none"/>
              </w:rPr>
              <w:t>二次搬运费</w:t>
            </w:r>
          </w:p>
          <w:p>
            <w:pPr>
              <w:wordWrap w:val="0"/>
              <w:adjustRightInd/>
              <w:spacing w:line="460" w:lineRule="exact"/>
              <w:rPr>
                <w:rFonts w:cs="仿宋"/>
                <w:color w:val="auto"/>
                <w:highlight w:val="none"/>
              </w:rPr>
            </w:pPr>
            <w:r>
              <w:rPr>
                <w:rFonts w:hint="eastAsia" w:ascii="宋体" w:hAnsi="宋体" w:cs="仿宋"/>
                <w:color w:val="auto"/>
                <w:highlight w:val="none"/>
              </w:rPr>
              <w:t>冬雨季施工增加费</w:t>
            </w:r>
          </w:p>
          <w:p>
            <w:pPr>
              <w:wordWrap w:val="0"/>
              <w:adjustRightInd/>
              <w:spacing w:line="460" w:lineRule="exact"/>
              <w:rPr>
                <w:rFonts w:cs="仿宋"/>
                <w:color w:val="auto"/>
                <w:highlight w:val="none"/>
              </w:rPr>
            </w:pPr>
            <w:r>
              <w:rPr>
                <w:rFonts w:hint="eastAsia" w:ascii="宋体" w:hAnsi="宋体" w:cs="仿宋"/>
                <w:color w:val="auto"/>
                <w:highlight w:val="none"/>
              </w:rPr>
              <w:t>行车、行人干扰增加费</w:t>
            </w:r>
          </w:p>
          <w:p>
            <w:pPr>
              <w:wordWrap w:val="0"/>
              <w:adjustRightInd/>
              <w:spacing w:line="460" w:lineRule="exact"/>
              <w:ind w:firstLine="420" w:firstLineChars="200"/>
              <w:jc w:val="center"/>
              <w:rPr>
                <w:rFonts w:cs="仿宋"/>
                <w:color w:val="auto"/>
                <w:highlight w:val="none"/>
              </w:rPr>
            </w:pPr>
          </w:p>
        </w:tc>
        <w:tc>
          <w:tcPr>
            <w:tcW w:w="95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rPr>
                <w:rFonts w:cs="仿宋"/>
                <w:color w:val="auto"/>
                <w:highlight w:val="none"/>
              </w:rPr>
            </w:pPr>
          </w:p>
        </w:tc>
        <w:tc>
          <w:tcPr>
            <w:tcW w:w="89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rPr>
                <w:rFonts w:cs="仿宋"/>
                <w:color w:val="auto"/>
                <w:highlight w:val="none"/>
              </w:rPr>
            </w:pPr>
          </w:p>
        </w:tc>
        <w:tc>
          <w:tcPr>
            <w:tcW w:w="1661"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rPr>
                <w:rFonts w:cs="仿宋"/>
                <w:color w:val="auto"/>
                <w:highlight w:val="none"/>
              </w:rPr>
            </w:pPr>
          </w:p>
        </w:tc>
        <w:tc>
          <w:tcPr>
            <w:tcW w:w="2644"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rPr>
                <w:rFonts w:cs="仿宋"/>
                <w:color w:val="auto"/>
                <w:highlight w:val="none"/>
              </w:rPr>
            </w:pPr>
          </w:p>
          <w:p>
            <w:pPr>
              <w:wordWrap w:val="0"/>
              <w:adjustRightInd/>
              <w:spacing w:line="460" w:lineRule="exact"/>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trPr>
        <w:tc>
          <w:tcPr>
            <w:tcW w:w="5435" w:type="dxa"/>
            <w:gridSpan w:val="4"/>
            <w:tcBorders>
              <w:top w:val="single" w:color="auto" w:sz="4" w:space="0"/>
              <w:left w:val="single" w:color="auto" w:sz="4" w:space="0"/>
              <w:bottom w:val="single" w:color="auto" w:sz="4" w:space="0"/>
              <w:right w:val="single" w:color="auto" w:sz="4" w:space="0"/>
            </w:tcBorders>
            <w:noWrap/>
          </w:tcPr>
          <w:p>
            <w:pPr>
              <w:wordWrap w:val="0"/>
              <w:adjustRightInd/>
              <w:spacing w:line="460" w:lineRule="exact"/>
              <w:ind w:firstLine="420" w:firstLineChars="200"/>
              <w:rPr>
                <w:rFonts w:cs="仿宋"/>
                <w:color w:val="auto"/>
                <w:highlight w:val="none"/>
              </w:rPr>
            </w:pPr>
            <w:r>
              <w:rPr>
                <w:rFonts w:hint="eastAsia" w:ascii="宋体" w:hAnsi="宋体" w:cs="仿宋"/>
                <w:color w:val="auto"/>
                <w:highlight w:val="none"/>
              </w:rPr>
              <w:t>合计</w:t>
            </w:r>
          </w:p>
        </w:tc>
        <w:tc>
          <w:tcPr>
            <w:tcW w:w="1661"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ind w:firstLine="420" w:firstLineChars="200"/>
              <w:rPr>
                <w:rFonts w:cs="仿宋"/>
                <w:color w:val="auto"/>
                <w:highlight w:val="none"/>
              </w:rPr>
            </w:pPr>
          </w:p>
        </w:tc>
        <w:tc>
          <w:tcPr>
            <w:tcW w:w="2644"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ind w:firstLine="420" w:firstLineChars="200"/>
              <w:rPr>
                <w:rFonts w:cs="仿宋"/>
                <w:color w:val="auto"/>
                <w:highlight w:val="none"/>
              </w:rPr>
            </w:pPr>
          </w:p>
        </w:tc>
      </w:tr>
    </w:tbl>
    <w:p>
      <w:pPr>
        <w:wordWrap w:val="0"/>
        <w:adjustRightInd/>
        <w:spacing w:line="460" w:lineRule="exact"/>
        <w:ind w:firstLine="420" w:firstLineChars="200"/>
        <w:rPr>
          <w:rFonts w:cs="仿宋"/>
          <w:color w:val="auto"/>
          <w:highlight w:val="none"/>
        </w:rPr>
      </w:pPr>
      <w:r>
        <w:rPr>
          <w:rFonts w:hint="eastAsia" w:ascii="宋体" w:hAnsi="宋体" w:cs="仿宋"/>
          <w:color w:val="auto"/>
          <w:highlight w:val="none"/>
        </w:rPr>
        <w:t>注： 1.表中列项供参考，（1）、（2）栏由招标人提供，投标人可按工程实际作补充。</w:t>
      </w:r>
    </w:p>
    <w:p>
      <w:pPr>
        <w:wordWrap w:val="0"/>
        <w:adjustRightInd/>
        <w:spacing w:line="460" w:lineRule="exact"/>
        <w:ind w:firstLine="420" w:firstLineChars="200"/>
        <w:rPr>
          <w:rFonts w:cs="仿宋"/>
          <w:color w:val="auto"/>
          <w:highlight w:val="none"/>
        </w:rPr>
      </w:pPr>
      <w:r>
        <w:rPr>
          <w:rFonts w:hint="eastAsia" w:ascii="宋体" w:hAnsi="宋体" w:cs="仿宋"/>
          <w:color w:val="auto"/>
          <w:highlight w:val="none"/>
        </w:rPr>
        <w:t>2．当招标项目为单位工程发包且只有1个分部分项工程量清单时，组织措施项目清单应按表1-3-A报价。</w:t>
      </w:r>
    </w:p>
    <w:p>
      <w:pPr>
        <w:pStyle w:val="862"/>
        <w:ind w:firstLine="480"/>
        <w:rPr>
          <w:rFonts w:cs="仿宋"/>
          <w:color w:val="auto"/>
          <w:highlight w:val="none"/>
        </w:rPr>
      </w:pPr>
    </w:p>
    <w:p>
      <w:pPr>
        <w:pStyle w:val="862"/>
        <w:ind w:firstLine="480"/>
        <w:rPr>
          <w:rFonts w:cs="仿宋"/>
          <w:color w:val="auto"/>
          <w:highlight w:val="none"/>
        </w:rPr>
      </w:pPr>
    </w:p>
    <w:p>
      <w:pPr>
        <w:ind w:firstLine="480"/>
        <w:rPr>
          <w:color w:val="auto"/>
          <w:highlight w:val="none"/>
        </w:rPr>
        <w:sectPr>
          <w:pgSz w:w="12240" w:h="15840"/>
          <w:pgMar w:top="1304" w:right="964" w:bottom="964" w:left="1531" w:header="720" w:footer="720" w:gutter="0"/>
          <w:cols w:space="720" w:num="1"/>
          <w:titlePg/>
          <w:docGrid w:linePitch="312" w:charSpace="0"/>
        </w:sectPr>
      </w:pPr>
    </w:p>
    <w:p>
      <w:pPr>
        <w:wordWrap w:val="0"/>
        <w:jc w:val="center"/>
        <w:outlineLvl w:val="4"/>
        <w:rPr>
          <w:rFonts w:cs="仿宋"/>
          <w:b/>
          <w:bCs/>
          <w:color w:val="auto"/>
          <w:sz w:val="32"/>
          <w:szCs w:val="28"/>
          <w:highlight w:val="none"/>
        </w:rPr>
      </w:pPr>
      <w:r>
        <w:rPr>
          <w:rFonts w:hint="eastAsia" w:ascii="宋体" w:hAnsi="宋体" w:cs="仿宋"/>
          <w:b/>
          <w:bCs/>
          <w:color w:val="auto"/>
          <w:sz w:val="32"/>
          <w:szCs w:val="28"/>
          <w:highlight w:val="none"/>
        </w:rPr>
        <w:t>表1-3-C  技术措施项目清单及计价表</w:t>
      </w:r>
    </w:p>
    <w:p>
      <w:pPr>
        <w:wordWrap w:val="0"/>
        <w:adjustRightInd/>
        <w:spacing w:line="460" w:lineRule="exact"/>
        <w:rPr>
          <w:rFonts w:cs="仿宋"/>
          <w:color w:val="auto"/>
          <w:highlight w:val="none"/>
        </w:rPr>
      </w:pPr>
      <w:r>
        <w:rPr>
          <w:rFonts w:hint="eastAsia" w:ascii="宋体" w:hAnsi="宋体" w:cs="仿宋"/>
          <w:color w:val="auto"/>
          <w:highlight w:val="none"/>
        </w:rPr>
        <w:t xml:space="preserve">工程名称：                </w:t>
      </w:r>
    </w:p>
    <w:p>
      <w:pPr>
        <w:wordWrap w:val="0"/>
        <w:adjustRightInd/>
        <w:spacing w:line="460" w:lineRule="exact"/>
        <w:rPr>
          <w:rFonts w:cs="仿宋"/>
          <w:color w:val="auto"/>
          <w:highlight w:val="none"/>
        </w:rPr>
      </w:pPr>
      <w:r>
        <w:rPr>
          <w:rFonts w:hint="eastAsia" w:ascii="宋体" w:hAnsi="宋体" w:cs="仿宋"/>
          <w:color w:val="auto"/>
          <w:highlight w:val="none"/>
        </w:rPr>
        <w:t xml:space="preserve">单位工程及专业工程名称：                            </w:t>
      </w:r>
    </w:p>
    <w:tbl>
      <w:tblPr>
        <w:tblStyle w:val="63"/>
        <w:tblW w:w="139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
        <w:gridCol w:w="1231"/>
        <w:gridCol w:w="1390"/>
        <w:gridCol w:w="1390"/>
        <w:gridCol w:w="1217"/>
        <w:gridCol w:w="1217"/>
        <w:gridCol w:w="1205"/>
        <w:gridCol w:w="987"/>
        <w:gridCol w:w="1216"/>
        <w:gridCol w:w="1216"/>
        <w:gridCol w:w="6"/>
        <w:gridCol w:w="1023"/>
        <w:gridCol w:w="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 w:hRule="atLeast"/>
        </w:trPr>
        <w:tc>
          <w:tcPr>
            <w:tcW w:w="921" w:type="dxa"/>
            <w:vMerge w:val="restart"/>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序号</w:t>
            </w:r>
          </w:p>
        </w:tc>
        <w:tc>
          <w:tcPr>
            <w:tcW w:w="1231" w:type="dxa"/>
            <w:vMerge w:val="restart"/>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项目编码</w:t>
            </w:r>
          </w:p>
        </w:tc>
        <w:tc>
          <w:tcPr>
            <w:tcW w:w="1390" w:type="dxa"/>
            <w:vMerge w:val="restart"/>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项目名称</w:t>
            </w:r>
          </w:p>
        </w:tc>
        <w:tc>
          <w:tcPr>
            <w:tcW w:w="1390" w:type="dxa"/>
            <w:vMerge w:val="restart"/>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项目特征</w:t>
            </w:r>
          </w:p>
          <w:p>
            <w:pPr>
              <w:tabs>
                <w:tab w:val="center" w:pos="587"/>
              </w:tabs>
              <w:wordWrap w:val="0"/>
              <w:adjustRightInd/>
              <w:spacing w:line="460" w:lineRule="exact"/>
              <w:jc w:val="center"/>
              <w:rPr>
                <w:rFonts w:cs="仿宋"/>
                <w:color w:val="auto"/>
                <w:highlight w:val="none"/>
              </w:rPr>
            </w:pPr>
            <w:r>
              <w:rPr>
                <w:rFonts w:hint="eastAsia" w:ascii="宋体" w:hAnsi="宋体" w:cs="仿宋"/>
                <w:color w:val="auto"/>
                <w:highlight w:val="none"/>
              </w:rPr>
              <w:t>描述</w:t>
            </w:r>
          </w:p>
        </w:tc>
        <w:tc>
          <w:tcPr>
            <w:tcW w:w="1217" w:type="dxa"/>
            <w:vMerge w:val="restart"/>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计量单位</w:t>
            </w:r>
          </w:p>
        </w:tc>
        <w:tc>
          <w:tcPr>
            <w:tcW w:w="1217" w:type="dxa"/>
            <w:vMerge w:val="restart"/>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工程量</w:t>
            </w:r>
          </w:p>
        </w:tc>
        <w:tc>
          <w:tcPr>
            <w:tcW w:w="1205" w:type="dxa"/>
            <w:vMerge w:val="restart"/>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综合单价</w:t>
            </w:r>
          </w:p>
          <w:p>
            <w:pPr>
              <w:wordWrap w:val="0"/>
              <w:adjustRightInd/>
              <w:spacing w:line="460" w:lineRule="exact"/>
              <w:jc w:val="center"/>
              <w:rPr>
                <w:rFonts w:cs="仿宋"/>
                <w:color w:val="auto"/>
                <w:highlight w:val="none"/>
              </w:rPr>
            </w:pPr>
            <w:r>
              <w:rPr>
                <w:rFonts w:hint="eastAsia" w:ascii="宋体" w:hAnsi="宋体" w:cs="仿宋"/>
                <w:color w:val="auto"/>
                <w:highlight w:val="none"/>
              </w:rPr>
              <w:t>(元)</w:t>
            </w:r>
          </w:p>
        </w:tc>
        <w:tc>
          <w:tcPr>
            <w:tcW w:w="987" w:type="dxa"/>
            <w:vMerge w:val="restart"/>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合  价</w:t>
            </w:r>
          </w:p>
          <w:p>
            <w:pPr>
              <w:wordWrap w:val="0"/>
              <w:adjustRightInd/>
              <w:spacing w:line="460" w:lineRule="exact"/>
              <w:jc w:val="center"/>
              <w:rPr>
                <w:rFonts w:cs="仿宋"/>
                <w:color w:val="auto"/>
                <w:highlight w:val="none"/>
              </w:rPr>
            </w:pPr>
            <w:r>
              <w:rPr>
                <w:rFonts w:hint="eastAsia" w:ascii="宋体" w:hAnsi="宋体" w:cs="仿宋"/>
                <w:color w:val="auto"/>
                <w:highlight w:val="none"/>
              </w:rPr>
              <w:t>(元)</w:t>
            </w:r>
          </w:p>
        </w:tc>
        <w:tc>
          <w:tcPr>
            <w:tcW w:w="3461" w:type="dxa"/>
            <w:gridSpan w:val="4"/>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其中</w:t>
            </w:r>
          </w:p>
        </w:tc>
        <w:tc>
          <w:tcPr>
            <w:tcW w:w="923" w:type="dxa"/>
            <w:vMerge w:val="restart"/>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921" w:type="dxa"/>
            <w:vMerge w:val="continue"/>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ind w:firstLine="420" w:firstLineChars="200"/>
              <w:jc w:val="center"/>
              <w:rPr>
                <w:rFonts w:cs="仿宋"/>
                <w:color w:val="auto"/>
                <w:highlight w:val="none"/>
              </w:rPr>
            </w:pPr>
          </w:p>
        </w:tc>
        <w:tc>
          <w:tcPr>
            <w:tcW w:w="1231" w:type="dxa"/>
            <w:vMerge w:val="continue"/>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ind w:firstLine="420" w:firstLineChars="200"/>
              <w:jc w:val="center"/>
              <w:rPr>
                <w:rFonts w:cs="仿宋"/>
                <w:color w:val="auto"/>
                <w:highlight w:val="none"/>
              </w:rPr>
            </w:pPr>
          </w:p>
        </w:tc>
        <w:tc>
          <w:tcPr>
            <w:tcW w:w="1390" w:type="dxa"/>
            <w:vMerge w:val="continue"/>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ind w:firstLine="420" w:firstLineChars="200"/>
              <w:jc w:val="center"/>
              <w:rPr>
                <w:rFonts w:cs="仿宋"/>
                <w:color w:val="auto"/>
                <w:highlight w:val="none"/>
              </w:rPr>
            </w:pPr>
          </w:p>
        </w:tc>
        <w:tc>
          <w:tcPr>
            <w:tcW w:w="1390" w:type="dxa"/>
            <w:vMerge w:val="continue"/>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ind w:firstLine="420" w:firstLineChars="200"/>
              <w:jc w:val="center"/>
              <w:rPr>
                <w:rFonts w:cs="仿宋"/>
                <w:color w:val="auto"/>
                <w:highlight w:val="none"/>
              </w:rPr>
            </w:pPr>
          </w:p>
        </w:tc>
        <w:tc>
          <w:tcPr>
            <w:tcW w:w="1217" w:type="dxa"/>
            <w:vMerge w:val="continue"/>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ind w:firstLine="420" w:firstLineChars="200"/>
              <w:jc w:val="center"/>
              <w:rPr>
                <w:rFonts w:cs="仿宋"/>
                <w:color w:val="auto"/>
                <w:highlight w:val="none"/>
              </w:rPr>
            </w:pPr>
          </w:p>
        </w:tc>
        <w:tc>
          <w:tcPr>
            <w:tcW w:w="1217" w:type="dxa"/>
            <w:vMerge w:val="continue"/>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ind w:firstLine="420" w:firstLineChars="200"/>
              <w:jc w:val="center"/>
              <w:rPr>
                <w:rFonts w:cs="仿宋"/>
                <w:color w:val="auto"/>
                <w:highlight w:val="none"/>
              </w:rPr>
            </w:pPr>
          </w:p>
        </w:tc>
        <w:tc>
          <w:tcPr>
            <w:tcW w:w="1205" w:type="dxa"/>
            <w:vMerge w:val="continue"/>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ind w:firstLine="420" w:firstLineChars="200"/>
              <w:jc w:val="center"/>
              <w:rPr>
                <w:rFonts w:cs="仿宋"/>
                <w:color w:val="auto"/>
                <w:highlight w:val="none"/>
              </w:rPr>
            </w:pPr>
          </w:p>
        </w:tc>
        <w:tc>
          <w:tcPr>
            <w:tcW w:w="987" w:type="dxa"/>
            <w:vMerge w:val="continue"/>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ind w:firstLine="420" w:firstLineChars="200"/>
              <w:jc w:val="center"/>
              <w:rPr>
                <w:rFonts w:cs="仿宋"/>
                <w:color w:val="auto"/>
                <w:highlight w:val="none"/>
              </w:rPr>
            </w:pPr>
          </w:p>
        </w:tc>
        <w:tc>
          <w:tcPr>
            <w:tcW w:w="1216"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人工费</w:t>
            </w:r>
          </w:p>
        </w:tc>
        <w:tc>
          <w:tcPr>
            <w:tcW w:w="1216"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机械费</w:t>
            </w:r>
          </w:p>
        </w:tc>
        <w:tc>
          <w:tcPr>
            <w:tcW w:w="1029" w:type="dxa"/>
            <w:gridSpan w:val="2"/>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管理费</w:t>
            </w:r>
          </w:p>
        </w:tc>
        <w:tc>
          <w:tcPr>
            <w:tcW w:w="923" w:type="dxa"/>
            <w:vMerge w:val="continue"/>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ind w:firstLine="420" w:firstLineChars="200"/>
              <w:jc w:val="center"/>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921"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（1）</w:t>
            </w:r>
          </w:p>
        </w:tc>
        <w:tc>
          <w:tcPr>
            <w:tcW w:w="1231"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（2）</w:t>
            </w:r>
          </w:p>
        </w:tc>
        <w:tc>
          <w:tcPr>
            <w:tcW w:w="139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（3）</w:t>
            </w:r>
          </w:p>
        </w:tc>
        <w:tc>
          <w:tcPr>
            <w:tcW w:w="139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（4）</w:t>
            </w:r>
          </w:p>
        </w:tc>
        <w:tc>
          <w:tcPr>
            <w:tcW w:w="1217"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（5）</w:t>
            </w:r>
          </w:p>
        </w:tc>
        <w:tc>
          <w:tcPr>
            <w:tcW w:w="1217"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205"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987"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216"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222" w:type="dxa"/>
            <w:gridSpan w:val="2"/>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023"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923"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921"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231"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39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大型机械设备进出场及安拆</w:t>
            </w:r>
          </w:p>
        </w:tc>
        <w:tc>
          <w:tcPr>
            <w:tcW w:w="1390" w:type="dxa"/>
            <w:tcBorders>
              <w:top w:val="single" w:color="auto" w:sz="4" w:space="0"/>
              <w:left w:val="single" w:color="auto" w:sz="4" w:space="0"/>
              <w:bottom w:val="single" w:color="auto" w:sz="4" w:space="0"/>
              <w:right w:val="single" w:color="auto" w:sz="4" w:space="0"/>
              <w:tr2bl w:val="single" w:color="auto" w:sz="4" w:space="0"/>
            </w:tcBorders>
            <w:noWrap/>
          </w:tcPr>
          <w:p>
            <w:pPr>
              <w:wordWrap w:val="0"/>
              <w:adjustRightInd/>
              <w:spacing w:line="460" w:lineRule="exact"/>
              <w:jc w:val="center"/>
              <w:rPr>
                <w:rFonts w:cs="仿宋"/>
                <w:color w:val="auto"/>
                <w:highlight w:val="none"/>
              </w:rPr>
            </w:pPr>
          </w:p>
        </w:tc>
        <w:tc>
          <w:tcPr>
            <w:tcW w:w="1217"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217"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205"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987"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216"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222" w:type="dxa"/>
            <w:gridSpan w:val="2"/>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023"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923"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921"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231"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39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施工降水</w:t>
            </w:r>
          </w:p>
        </w:tc>
        <w:tc>
          <w:tcPr>
            <w:tcW w:w="1390" w:type="dxa"/>
            <w:tcBorders>
              <w:top w:val="single" w:color="auto" w:sz="4" w:space="0"/>
              <w:left w:val="single" w:color="auto" w:sz="4" w:space="0"/>
              <w:bottom w:val="single" w:color="auto" w:sz="4" w:space="0"/>
              <w:right w:val="single" w:color="auto" w:sz="4" w:space="0"/>
              <w:tr2bl w:val="single" w:color="auto" w:sz="4" w:space="0"/>
            </w:tcBorders>
            <w:noWrap/>
          </w:tcPr>
          <w:p>
            <w:pPr>
              <w:wordWrap w:val="0"/>
              <w:adjustRightInd/>
              <w:spacing w:line="460" w:lineRule="exact"/>
              <w:jc w:val="center"/>
              <w:rPr>
                <w:rFonts w:cs="仿宋"/>
                <w:color w:val="auto"/>
                <w:highlight w:val="none"/>
              </w:rPr>
            </w:pPr>
          </w:p>
        </w:tc>
        <w:tc>
          <w:tcPr>
            <w:tcW w:w="1217"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217"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205"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987"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216"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222" w:type="dxa"/>
            <w:gridSpan w:val="2"/>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023"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923"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921"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231"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39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施工排水</w:t>
            </w:r>
          </w:p>
        </w:tc>
        <w:tc>
          <w:tcPr>
            <w:tcW w:w="1390" w:type="dxa"/>
            <w:tcBorders>
              <w:top w:val="single" w:color="auto" w:sz="4" w:space="0"/>
              <w:left w:val="single" w:color="auto" w:sz="4" w:space="0"/>
              <w:bottom w:val="single" w:color="auto" w:sz="4" w:space="0"/>
              <w:right w:val="single" w:color="auto" w:sz="4" w:space="0"/>
              <w:tr2bl w:val="single" w:color="auto" w:sz="4" w:space="0"/>
            </w:tcBorders>
            <w:noWrap/>
          </w:tcPr>
          <w:p>
            <w:pPr>
              <w:wordWrap w:val="0"/>
              <w:adjustRightInd/>
              <w:spacing w:line="460" w:lineRule="exact"/>
              <w:jc w:val="center"/>
              <w:rPr>
                <w:rFonts w:cs="仿宋"/>
                <w:color w:val="auto"/>
                <w:highlight w:val="none"/>
              </w:rPr>
            </w:pPr>
          </w:p>
        </w:tc>
        <w:tc>
          <w:tcPr>
            <w:tcW w:w="1217"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217"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205"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987"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216"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222" w:type="dxa"/>
            <w:gridSpan w:val="2"/>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023"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923"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921"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231"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39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地下、地下设施或建筑物的临时保护措施</w:t>
            </w:r>
          </w:p>
        </w:tc>
        <w:tc>
          <w:tcPr>
            <w:tcW w:w="1390" w:type="dxa"/>
            <w:tcBorders>
              <w:top w:val="single" w:color="auto" w:sz="4" w:space="0"/>
              <w:left w:val="single" w:color="auto" w:sz="4" w:space="0"/>
              <w:bottom w:val="single" w:color="auto" w:sz="4" w:space="0"/>
              <w:right w:val="single" w:color="auto" w:sz="4" w:space="0"/>
              <w:tr2bl w:val="single" w:color="auto" w:sz="4" w:space="0"/>
            </w:tcBorders>
            <w:noWrap/>
          </w:tcPr>
          <w:p>
            <w:pPr>
              <w:wordWrap w:val="0"/>
              <w:adjustRightInd/>
              <w:spacing w:line="460" w:lineRule="exact"/>
              <w:jc w:val="center"/>
              <w:rPr>
                <w:rFonts w:cs="仿宋"/>
                <w:color w:val="auto"/>
                <w:highlight w:val="none"/>
              </w:rPr>
            </w:pPr>
          </w:p>
        </w:tc>
        <w:tc>
          <w:tcPr>
            <w:tcW w:w="1217"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217"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205"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987"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216"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222" w:type="dxa"/>
            <w:gridSpan w:val="2"/>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023"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923"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921"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231"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39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w:t>
            </w:r>
          </w:p>
        </w:tc>
        <w:tc>
          <w:tcPr>
            <w:tcW w:w="139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217"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217"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205"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987"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216"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222" w:type="dxa"/>
            <w:gridSpan w:val="2"/>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023"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923"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921"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231"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39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模板</w:t>
            </w:r>
          </w:p>
        </w:tc>
        <w:tc>
          <w:tcPr>
            <w:tcW w:w="139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217"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217"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205"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987"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216"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222" w:type="dxa"/>
            <w:gridSpan w:val="2"/>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023"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923"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8571" w:type="dxa"/>
            <w:gridSpan w:val="7"/>
            <w:tcBorders>
              <w:top w:val="nil"/>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合    计</w:t>
            </w:r>
          </w:p>
        </w:tc>
        <w:tc>
          <w:tcPr>
            <w:tcW w:w="987"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ind w:firstLine="420" w:firstLineChars="200"/>
              <w:rPr>
                <w:rFonts w:cs="仿宋"/>
                <w:color w:val="auto"/>
                <w:highlight w:val="none"/>
              </w:rPr>
            </w:pPr>
          </w:p>
        </w:tc>
        <w:tc>
          <w:tcPr>
            <w:tcW w:w="1216"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ind w:firstLine="420" w:firstLineChars="200"/>
              <w:rPr>
                <w:rFonts w:cs="仿宋"/>
                <w:color w:val="auto"/>
                <w:highlight w:val="none"/>
              </w:rPr>
            </w:pPr>
          </w:p>
        </w:tc>
        <w:tc>
          <w:tcPr>
            <w:tcW w:w="1216"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ind w:firstLine="420" w:firstLineChars="200"/>
              <w:rPr>
                <w:rFonts w:cs="仿宋"/>
                <w:color w:val="auto"/>
                <w:highlight w:val="none"/>
              </w:rPr>
            </w:pPr>
          </w:p>
        </w:tc>
        <w:tc>
          <w:tcPr>
            <w:tcW w:w="1029" w:type="dxa"/>
            <w:gridSpan w:val="2"/>
            <w:tcBorders>
              <w:top w:val="single" w:color="auto" w:sz="4" w:space="0"/>
              <w:left w:val="single" w:color="auto" w:sz="4" w:space="0"/>
              <w:bottom w:val="single" w:color="auto" w:sz="4" w:space="0"/>
              <w:right w:val="single" w:color="auto" w:sz="4" w:space="0"/>
            </w:tcBorders>
            <w:noWrap/>
          </w:tcPr>
          <w:p>
            <w:pPr>
              <w:wordWrap w:val="0"/>
              <w:adjustRightInd/>
              <w:spacing w:line="460" w:lineRule="exact"/>
              <w:ind w:firstLine="420" w:firstLineChars="200"/>
              <w:rPr>
                <w:rFonts w:cs="仿宋"/>
                <w:color w:val="auto"/>
                <w:highlight w:val="none"/>
              </w:rPr>
            </w:pPr>
          </w:p>
        </w:tc>
        <w:tc>
          <w:tcPr>
            <w:tcW w:w="923"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ind w:firstLine="420" w:firstLineChars="200"/>
              <w:rPr>
                <w:rFonts w:cs="仿宋"/>
                <w:color w:val="auto"/>
                <w:highlight w:val="none"/>
              </w:rPr>
            </w:pPr>
          </w:p>
        </w:tc>
      </w:tr>
    </w:tbl>
    <w:p>
      <w:pPr>
        <w:wordWrap w:val="0"/>
        <w:adjustRightInd/>
        <w:spacing w:line="460" w:lineRule="exact"/>
        <w:ind w:firstLine="420" w:firstLineChars="200"/>
        <w:rPr>
          <w:rFonts w:cs="仿宋"/>
          <w:color w:val="auto"/>
          <w:highlight w:val="none"/>
        </w:rPr>
      </w:pPr>
      <w:r>
        <w:rPr>
          <w:rFonts w:hint="eastAsia" w:ascii="宋体" w:hAnsi="宋体" w:cs="仿宋"/>
          <w:color w:val="auto"/>
          <w:highlight w:val="none"/>
        </w:rPr>
        <w:t>注：1. 本表适用于以“项”为单位计价和以“分部分项工程量清单项目综合单价”方式计价的技术措施项目。</w:t>
      </w:r>
    </w:p>
    <w:p>
      <w:pPr>
        <w:wordWrap w:val="0"/>
        <w:adjustRightInd/>
        <w:spacing w:line="460" w:lineRule="exact"/>
        <w:ind w:firstLine="420" w:firstLineChars="200"/>
        <w:rPr>
          <w:rFonts w:cs="仿宋"/>
          <w:color w:val="auto"/>
          <w:highlight w:val="none"/>
        </w:rPr>
      </w:pPr>
      <w:r>
        <w:rPr>
          <w:rFonts w:hint="eastAsia" w:ascii="宋体" w:hAnsi="宋体" w:cs="仿宋"/>
          <w:color w:val="auto"/>
          <w:highlight w:val="none"/>
        </w:rPr>
        <w:t>2．措施项目应分整体措施项目和专业工程措施项目。如应用于整体措施项目，表头中只须填报工程名称；如应用于专业工程措施项目，表头中应分别填写工程名称、单位工程及专业工程名称。</w:t>
      </w:r>
    </w:p>
    <w:p>
      <w:pPr>
        <w:wordWrap w:val="0"/>
        <w:adjustRightInd/>
        <w:spacing w:line="460" w:lineRule="exact"/>
        <w:ind w:firstLine="420" w:firstLineChars="200"/>
        <w:rPr>
          <w:rFonts w:cs="仿宋"/>
          <w:color w:val="auto"/>
          <w:highlight w:val="none"/>
        </w:rPr>
      </w:pPr>
      <w:r>
        <w:rPr>
          <w:rFonts w:hint="eastAsia" w:ascii="宋体" w:hAnsi="宋体" w:cs="仿宋"/>
          <w:color w:val="auto"/>
          <w:highlight w:val="none"/>
        </w:rPr>
        <w:t>3．以“分部分项工程量清单项目综合单价”方式计价的技术措施项目，表中第（1）～（5）栏由招标人提供；以“项”为单位计价的技术措施项目，表中第（4）栏项目特征不需要提供和填写。投标人根据施工方案对具体项目可作补充。</w:t>
      </w:r>
    </w:p>
    <w:p>
      <w:pPr>
        <w:wordWrap w:val="0"/>
        <w:adjustRightInd/>
        <w:spacing w:line="460" w:lineRule="exact"/>
        <w:ind w:firstLine="420" w:firstLineChars="200"/>
        <w:rPr>
          <w:rFonts w:cs="仿宋"/>
          <w:color w:val="auto"/>
          <w:highlight w:val="none"/>
        </w:rPr>
      </w:pPr>
      <w:r>
        <w:rPr>
          <w:rFonts w:hint="eastAsia" w:ascii="宋体" w:hAnsi="宋体" w:cs="仿宋"/>
          <w:color w:val="auto"/>
          <w:highlight w:val="none"/>
        </w:rPr>
        <w:t>4．第（6）栏由招标人按需出要求，如招标人需要投标人提供清单项目综合单价的计算分析和工料机分析，请在备注中明确。</w:t>
      </w:r>
    </w:p>
    <w:p>
      <w:pPr>
        <w:pStyle w:val="862"/>
        <w:ind w:firstLine="480"/>
        <w:rPr>
          <w:color w:val="auto"/>
          <w:highlight w:val="none"/>
        </w:rPr>
      </w:pPr>
    </w:p>
    <w:p>
      <w:pPr>
        <w:wordWrap w:val="0"/>
        <w:spacing w:line="460" w:lineRule="exact"/>
        <w:ind w:firstLine="420" w:firstLineChars="200"/>
        <w:rPr>
          <w:rFonts w:cs="仿宋"/>
          <w:color w:val="auto"/>
          <w:kern w:val="0"/>
          <w:szCs w:val="21"/>
          <w:highlight w:val="none"/>
        </w:rPr>
      </w:pPr>
    </w:p>
    <w:p>
      <w:pPr>
        <w:ind w:firstLine="480"/>
        <w:rPr>
          <w:color w:val="auto"/>
          <w:highlight w:val="none"/>
        </w:rPr>
        <w:sectPr>
          <w:pgSz w:w="15840" w:h="12240" w:orient="landscape"/>
          <w:pgMar w:top="1531" w:right="1304" w:bottom="964" w:left="964" w:header="720" w:footer="720" w:gutter="0"/>
          <w:cols w:space="720" w:num="1"/>
          <w:titlePg/>
          <w:docGrid w:linePitch="312" w:charSpace="0"/>
        </w:sectPr>
      </w:pPr>
    </w:p>
    <w:p>
      <w:pPr>
        <w:wordWrap w:val="0"/>
        <w:jc w:val="center"/>
        <w:outlineLvl w:val="4"/>
        <w:rPr>
          <w:rFonts w:cs="仿宋"/>
          <w:b/>
          <w:bCs/>
          <w:color w:val="auto"/>
          <w:sz w:val="32"/>
          <w:szCs w:val="28"/>
          <w:highlight w:val="none"/>
        </w:rPr>
      </w:pPr>
      <w:r>
        <w:rPr>
          <w:rFonts w:hint="eastAsia" w:ascii="宋体" w:hAnsi="宋体" w:cs="仿宋"/>
          <w:b/>
          <w:bCs/>
          <w:color w:val="auto"/>
          <w:sz w:val="32"/>
          <w:szCs w:val="28"/>
          <w:highlight w:val="none"/>
        </w:rPr>
        <w:t>表1-3-A-1  安全文明施工措施项目清单及计价表</w:t>
      </w:r>
    </w:p>
    <w:p>
      <w:pPr>
        <w:wordWrap w:val="0"/>
        <w:adjustRightInd/>
        <w:spacing w:line="460" w:lineRule="exact"/>
        <w:ind w:firstLine="420" w:firstLineChars="200"/>
        <w:rPr>
          <w:rFonts w:cs="仿宋"/>
          <w:color w:val="auto"/>
          <w:highlight w:val="none"/>
        </w:rPr>
      </w:pPr>
      <w:r>
        <w:rPr>
          <w:rFonts w:hint="eastAsia" w:ascii="宋体" w:hAnsi="宋体" w:cs="仿宋"/>
          <w:color w:val="auto"/>
          <w:highlight w:val="none"/>
        </w:rPr>
        <w:t>工程名称:                                                    第  页共  页</w:t>
      </w:r>
    </w:p>
    <w:tbl>
      <w:tblPr>
        <w:tblStyle w:val="63"/>
        <w:tblW w:w="9258" w:type="dxa"/>
        <w:jc w:val="center"/>
        <w:tblLayout w:type="fixed"/>
        <w:tblCellMar>
          <w:top w:w="0" w:type="dxa"/>
          <w:left w:w="108" w:type="dxa"/>
          <w:bottom w:w="0" w:type="dxa"/>
          <w:right w:w="108" w:type="dxa"/>
        </w:tblCellMar>
      </w:tblPr>
      <w:tblGrid>
        <w:gridCol w:w="1184"/>
        <w:gridCol w:w="2161"/>
        <w:gridCol w:w="844"/>
        <w:gridCol w:w="877"/>
        <w:gridCol w:w="877"/>
        <w:gridCol w:w="877"/>
        <w:gridCol w:w="2438"/>
      </w:tblGrid>
      <w:tr>
        <w:tblPrEx>
          <w:tblCellMar>
            <w:top w:w="0" w:type="dxa"/>
            <w:left w:w="108" w:type="dxa"/>
            <w:bottom w:w="0" w:type="dxa"/>
            <w:right w:w="108" w:type="dxa"/>
          </w:tblCellMar>
        </w:tblPrEx>
        <w:trPr>
          <w:cantSplit/>
          <w:trHeight w:val="340" w:hRule="atLeast"/>
          <w:tblHeader/>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ind w:left="-210" w:leftChars="-100" w:firstLine="210" w:firstLineChars="100"/>
              <w:jc w:val="center"/>
              <w:rPr>
                <w:rFonts w:cs="仿宋"/>
                <w:color w:val="auto"/>
                <w:highlight w:val="none"/>
              </w:rPr>
            </w:pPr>
            <w:r>
              <w:rPr>
                <w:rFonts w:hint="eastAsia" w:ascii="宋体" w:hAnsi="宋体" w:cs="仿宋"/>
                <w:color w:val="auto"/>
                <w:highlight w:val="none"/>
              </w:rPr>
              <w:t>序号</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措施项目名称</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单位</w:t>
            </w: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数量</w:t>
            </w: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单价（元）</w:t>
            </w: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合价（元）</w:t>
            </w: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备注</w:t>
            </w: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（1）</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（2）</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（3）</w:t>
            </w: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一</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安全施工措施项目</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（一）</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基本安全防护</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1</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安全网</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（1）</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安全平网</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m2</w:t>
            </w: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平面面积</w:t>
            </w: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(2)</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密目式立网</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m2</w:t>
            </w: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垂直立面</w:t>
            </w: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2</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防护栏杆</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按栏杆长度</w:t>
            </w: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（1）</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高处作业临边防护栏杆</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m</w:t>
            </w: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（2）</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深基坑（槽）临边护栏</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m</w:t>
            </w: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（3）</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其他防护栏杆</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m</w:t>
            </w: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3</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防护门</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m2</w:t>
            </w: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4</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防护棚</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按防护面积</w:t>
            </w: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（1）</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通道防护棚</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m2</w:t>
            </w: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（2）</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井架防护棚</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m2</w:t>
            </w: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（3）</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升降机防护棚</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m2</w:t>
            </w: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含人货两用升降机、货用</w:t>
            </w:r>
          </w:p>
          <w:p>
            <w:pPr>
              <w:wordWrap w:val="0"/>
              <w:adjustRightInd/>
              <w:spacing w:line="460" w:lineRule="exact"/>
              <w:jc w:val="center"/>
              <w:rPr>
                <w:rFonts w:cs="仿宋"/>
                <w:color w:val="auto"/>
                <w:highlight w:val="none"/>
              </w:rPr>
            </w:pPr>
            <w:r>
              <w:rPr>
                <w:rFonts w:hint="eastAsia" w:ascii="宋体" w:hAnsi="宋体" w:cs="仿宋"/>
                <w:color w:val="auto"/>
                <w:highlight w:val="none"/>
              </w:rPr>
              <w:t>升降机</w:t>
            </w: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5</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断头路阻挡墙</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m3</w:t>
            </w: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6</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安全隔离网</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m2</w:t>
            </w: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爆破工程</w:t>
            </w: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7</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对讲机</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套</w:t>
            </w: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（二）</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高处作业</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1</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洞口水平隔离防护</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m2</w:t>
            </w: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按洞口水平面积</w:t>
            </w: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2</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高压线安全措施</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元</w:t>
            </w: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3</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起重设备防护措施</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元</w:t>
            </w: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4</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楼层呼唤器</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套</w:t>
            </w: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5</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其他高处作业安全防护</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（三）</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深基坑（槽）</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1</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上下专用通道</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m2</w:t>
            </w: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含安全爬梯</w:t>
            </w: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2</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基坑支护变形监测</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元</w:t>
            </w: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3</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其他深基坑安全防护</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（四）</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脚手架</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1</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水平隔离封闭设施</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m</w:t>
            </w: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2</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其他脚手架安全防护</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（五）</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井架</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1</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架体围护</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m2</w:t>
            </w: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2</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货用升降机操作室</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m2</w:t>
            </w: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3</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其他井架防护</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（六）</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消防器材、设施</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1</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灭火器</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只</w:t>
            </w: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2</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消防水泵</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台</w:t>
            </w: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3</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水枪、水带</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套</w:t>
            </w: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4</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消防箱</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只</w:t>
            </w: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5</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消防立管</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m</w:t>
            </w: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6</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危险品仓库搭建</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m2</w:t>
            </w: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7</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防雷设施</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元</w:t>
            </w: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8</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其他</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（七）</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特殊工程安全措施</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1</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特殊作业防护用品</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元</w:t>
            </w: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2</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救生设施</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元</w:t>
            </w: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含救生衣、救生圈等</w:t>
            </w: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3</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防毒面具</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付</w:t>
            </w: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4</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有毒气体检测仪器</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套</w:t>
            </w: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5</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其他特殊安全防护</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（八）</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安全标志</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1</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安全警示标牌、标识</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元</w:t>
            </w: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2</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警示灯</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处</w:t>
            </w: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3</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航标灯</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处</w:t>
            </w: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通航要求</w:t>
            </w: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4</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其他安全标志</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（九）</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安全专项检测</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1</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起重机械检测费</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元</w:t>
            </w: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塔吊、升降机等</w:t>
            </w: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2</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钢管、扣件检测费</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元</w:t>
            </w: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3</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高处作业吊篮检测费</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元</w:t>
            </w: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4</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防坠器专项检测费</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元</w:t>
            </w: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5</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其他安全检测</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（十）</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智慧工地</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1</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实名制信息采集及考勤设备、软件及管理</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元</w:t>
            </w: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2</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扬尘在线视频监测设备、软件及管理</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元</w:t>
            </w: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3</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远程高清视频监控设备、软件及管理</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元</w:t>
            </w: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4</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起重机械安全监控设备、软件及管理</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元</w:t>
            </w: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5</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其他管理设施</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元</w:t>
            </w: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（十一）</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安全教育培训</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元</w:t>
            </w: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（十二）</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现场安全保卫</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元</w:t>
            </w: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（十三）</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其他安全施工措施</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二</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文明施工措施项目</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1</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围墙</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m</w:t>
            </w: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按标准设置</w:t>
            </w: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2</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大门、门楼</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块</w:t>
            </w: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3</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标牌</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块</w:t>
            </w: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4</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效果图</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块</w:t>
            </w: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5</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彩钢板围档</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m</w:t>
            </w: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按标准设置</w:t>
            </w: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6</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地坪硬化</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m2</w:t>
            </w: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7</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其他文明施工措施</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三</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环境保护措施项目</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含扬尘污染防治措施</w:t>
            </w: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1</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现场绿化</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m2</w:t>
            </w: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2</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防尘网布</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m2</w:t>
            </w: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3</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车辆冲洗设施</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套</w:t>
            </w: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含洗车槽、自动冲洗或</w:t>
            </w:r>
          </w:p>
          <w:p>
            <w:pPr>
              <w:wordWrap w:val="0"/>
              <w:adjustRightInd/>
              <w:spacing w:line="460" w:lineRule="exact"/>
              <w:jc w:val="center"/>
              <w:rPr>
                <w:rFonts w:cs="仿宋"/>
                <w:color w:val="auto"/>
                <w:highlight w:val="none"/>
              </w:rPr>
            </w:pPr>
            <w:r>
              <w:rPr>
                <w:rFonts w:hint="eastAsia" w:ascii="宋体" w:hAnsi="宋体" w:cs="仿宋"/>
                <w:color w:val="auto"/>
                <w:highlight w:val="none"/>
              </w:rPr>
              <w:t>其他冲洗设备等</w:t>
            </w: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4</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喷淋设施</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（1）</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塔吊喷淋</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套</w:t>
            </w: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（2）</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外架喷淋</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套</w:t>
            </w: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（3）</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场地喷淋</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套</w:t>
            </w: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5</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防尘雾炮</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台</w:t>
            </w: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6</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其他扬尘控制费用</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元</w:t>
            </w: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7</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噪声控制费用</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元</w:t>
            </w: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8</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污水处理费用</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元</w:t>
            </w: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特殊工程要求</w:t>
            </w: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9</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车辆密封费用</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元</w:t>
            </w: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10</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工地食堂油烟净化设备</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套</w:t>
            </w: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11</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其他环境保护措施</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四</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临时设施措施项目</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（一）</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办公用房</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m2</w:t>
            </w: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（二）</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生活用房</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1</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宿舍</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m2</w:t>
            </w: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2</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食堂</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m2</w:t>
            </w: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3</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厕所</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m2</w:t>
            </w: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4</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浴室</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m2</w:t>
            </w: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5</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其他生活设施</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休息场所、文化娱乐设施等</w:t>
            </w: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（三）</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生产用房（仓库）</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m2</w:t>
            </w: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（四）</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临时用电设施</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1</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总配电箱</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只</w:t>
            </w: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2</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分配电箱</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只</w:t>
            </w: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3</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开关箱</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只</w:t>
            </w: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4</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临时用电线路</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m</w:t>
            </w: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5</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用电保护装置</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处</w:t>
            </w: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6</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发电机</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台</w:t>
            </w: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7</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其他临时用电设施</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附近外电线路</w:t>
            </w:r>
          </w:p>
          <w:p>
            <w:pPr>
              <w:wordWrap w:val="0"/>
              <w:adjustRightInd/>
              <w:spacing w:line="460" w:lineRule="exact"/>
              <w:jc w:val="center"/>
              <w:rPr>
                <w:rFonts w:cs="仿宋"/>
                <w:color w:val="auto"/>
                <w:highlight w:val="none"/>
              </w:rPr>
            </w:pPr>
            <w:r>
              <w:rPr>
                <w:rFonts w:hint="eastAsia" w:ascii="宋体" w:hAnsi="宋体" w:cs="仿宋"/>
                <w:color w:val="auto"/>
                <w:highlight w:val="none"/>
              </w:rPr>
              <w:t>防护设施等</w:t>
            </w: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（五）</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临时供水</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m</w:t>
            </w: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按管道长度</w:t>
            </w: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（六）</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临时排水</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m</w:t>
            </w: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按管道长度</w:t>
            </w: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（七）</w:t>
            </w: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其他临时设施</w:t>
            </w: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CellMar>
            <w:top w:w="0" w:type="dxa"/>
            <w:left w:w="108" w:type="dxa"/>
            <w:bottom w:w="0" w:type="dxa"/>
            <w:right w:w="108" w:type="dxa"/>
          </w:tblCellMar>
        </w:tblPrEx>
        <w:trPr>
          <w:cantSplit/>
          <w:trHeight w:val="340" w:hRule="atLeast"/>
          <w:jc w:val="center"/>
        </w:trPr>
        <w:tc>
          <w:tcPr>
            <w:tcW w:w="11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161"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44"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CellMar>
            <w:top w:w="0" w:type="dxa"/>
            <w:left w:w="108" w:type="dxa"/>
            <w:bottom w:w="0" w:type="dxa"/>
            <w:right w:w="108" w:type="dxa"/>
          </w:tblCellMar>
        </w:tblPrEx>
        <w:trPr>
          <w:cantSplit/>
          <w:trHeight w:val="340" w:hRule="atLeast"/>
          <w:jc w:val="center"/>
        </w:trPr>
        <w:tc>
          <w:tcPr>
            <w:tcW w:w="5943" w:type="dxa"/>
            <w:gridSpan w:val="5"/>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合计</w:t>
            </w:r>
          </w:p>
        </w:tc>
        <w:tc>
          <w:tcPr>
            <w:tcW w:w="877"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438" w:type="dxa"/>
            <w:tcBorders>
              <w:top w:val="single" w:color="auto" w:sz="4" w:space="0"/>
              <w:left w:val="nil"/>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bl>
    <w:p>
      <w:pPr>
        <w:wordWrap w:val="0"/>
        <w:adjustRightInd/>
        <w:spacing w:line="460" w:lineRule="exact"/>
        <w:ind w:firstLine="420" w:firstLineChars="200"/>
        <w:rPr>
          <w:rFonts w:cs="仿宋"/>
          <w:color w:val="auto"/>
          <w:highlight w:val="none"/>
        </w:rPr>
      </w:pPr>
    </w:p>
    <w:p>
      <w:pPr>
        <w:wordWrap w:val="0"/>
        <w:adjustRightInd/>
        <w:spacing w:line="460" w:lineRule="exact"/>
        <w:ind w:firstLine="420" w:firstLineChars="200"/>
        <w:rPr>
          <w:rFonts w:cs="仿宋"/>
          <w:color w:val="auto"/>
          <w:highlight w:val="none"/>
        </w:rPr>
      </w:pPr>
      <w:r>
        <w:rPr>
          <w:rFonts w:hint="eastAsia" w:ascii="宋体" w:hAnsi="宋体" w:cs="仿宋"/>
          <w:color w:val="auto"/>
          <w:highlight w:val="none"/>
        </w:rPr>
        <w:t>注：表中（1）～（3）栏由招标人根据具体工程特点提供，投标人可补充。安全文明施工措施项目及费用应按招标项目整体报价。</w:t>
      </w:r>
    </w:p>
    <w:p>
      <w:pPr>
        <w:wordWrap w:val="0"/>
        <w:adjustRightInd/>
        <w:spacing w:line="460" w:lineRule="exact"/>
        <w:ind w:firstLine="420" w:firstLineChars="200"/>
        <w:rPr>
          <w:rFonts w:cs="仿宋"/>
          <w:color w:val="auto"/>
          <w:highlight w:val="none"/>
        </w:rPr>
      </w:pPr>
    </w:p>
    <w:p>
      <w:pPr>
        <w:wordWrap w:val="0"/>
        <w:adjustRightInd/>
        <w:spacing w:line="460" w:lineRule="exact"/>
        <w:ind w:firstLine="420" w:firstLineChars="200"/>
        <w:rPr>
          <w:rFonts w:cs="仿宋"/>
          <w:color w:val="auto"/>
          <w:highlight w:val="none"/>
        </w:rPr>
      </w:pPr>
    </w:p>
    <w:p>
      <w:pPr>
        <w:wordWrap w:val="0"/>
        <w:adjustRightInd/>
        <w:spacing w:line="460" w:lineRule="exact"/>
        <w:ind w:firstLine="420" w:firstLineChars="200"/>
        <w:rPr>
          <w:rFonts w:cs="仿宋"/>
          <w:color w:val="auto"/>
          <w:highlight w:val="none"/>
        </w:rPr>
      </w:pPr>
    </w:p>
    <w:p>
      <w:pPr>
        <w:wordWrap w:val="0"/>
        <w:jc w:val="center"/>
        <w:outlineLvl w:val="4"/>
        <w:rPr>
          <w:rFonts w:cs="仿宋"/>
          <w:b/>
          <w:bCs/>
          <w:color w:val="auto"/>
          <w:sz w:val="32"/>
          <w:szCs w:val="28"/>
          <w:highlight w:val="none"/>
        </w:rPr>
      </w:pPr>
      <w:r>
        <w:rPr>
          <w:rFonts w:hint="eastAsia" w:ascii="宋体" w:hAnsi="宋体" w:cs="仿宋"/>
          <w:b/>
          <w:bCs/>
          <w:color w:val="auto"/>
          <w:sz w:val="32"/>
          <w:szCs w:val="28"/>
          <w:highlight w:val="none"/>
        </w:rPr>
        <w:br w:type="page"/>
      </w:r>
      <w:r>
        <w:rPr>
          <w:rFonts w:hint="eastAsia" w:ascii="宋体" w:hAnsi="宋体" w:cs="仿宋"/>
          <w:b/>
          <w:bCs/>
          <w:color w:val="auto"/>
          <w:sz w:val="32"/>
          <w:szCs w:val="28"/>
          <w:highlight w:val="none"/>
        </w:rPr>
        <w:t>表1-4  其他项目清单及计价表</w:t>
      </w:r>
    </w:p>
    <w:p>
      <w:pPr>
        <w:wordWrap w:val="0"/>
        <w:adjustRightInd/>
        <w:spacing w:line="460" w:lineRule="exact"/>
        <w:rPr>
          <w:rFonts w:cs="仿宋"/>
          <w:color w:val="auto"/>
          <w:highlight w:val="none"/>
        </w:rPr>
      </w:pPr>
      <w:r>
        <w:rPr>
          <w:rFonts w:hint="eastAsia" w:ascii="宋体" w:hAnsi="宋体" w:cs="仿宋"/>
          <w:color w:val="auto"/>
          <w:highlight w:val="none"/>
        </w:rPr>
        <w:t xml:space="preserve">工程名称： </w:t>
      </w:r>
    </w:p>
    <w:p>
      <w:pPr>
        <w:wordWrap w:val="0"/>
        <w:adjustRightInd/>
        <w:spacing w:line="460" w:lineRule="exact"/>
        <w:rPr>
          <w:rFonts w:cs="仿宋"/>
          <w:color w:val="auto"/>
          <w:highlight w:val="none"/>
        </w:rPr>
      </w:pPr>
      <w:r>
        <w:rPr>
          <w:rFonts w:hint="eastAsia" w:ascii="宋体" w:hAnsi="宋体" w:cs="仿宋"/>
          <w:color w:val="auto"/>
          <w:highlight w:val="none"/>
        </w:rPr>
        <w:t>单位工程名称：                                                     第  页共 页</w:t>
      </w:r>
    </w:p>
    <w:tbl>
      <w:tblPr>
        <w:tblStyle w:val="63"/>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2687"/>
        <w:gridCol w:w="3178"/>
        <w:gridCol w:w="2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57"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序号</w:t>
            </w:r>
          </w:p>
        </w:tc>
        <w:tc>
          <w:tcPr>
            <w:tcW w:w="2687"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项目名称</w:t>
            </w:r>
          </w:p>
        </w:tc>
        <w:tc>
          <w:tcPr>
            <w:tcW w:w="3178"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金额(元)</w:t>
            </w:r>
          </w:p>
        </w:tc>
        <w:tc>
          <w:tcPr>
            <w:tcW w:w="2546"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57"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1</w:t>
            </w:r>
          </w:p>
        </w:tc>
        <w:tc>
          <w:tcPr>
            <w:tcW w:w="2687"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暂列金额</w:t>
            </w:r>
          </w:p>
        </w:tc>
        <w:tc>
          <w:tcPr>
            <w:tcW w:w="3178"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546"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57"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2</w:t>
            </w:r>
          </w:p>
        </w:tc>
        <w:tc>
          <w:tcPr>
            <w:tcW w:w="2687"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计日工</w:t>
            </w:r>
          </w:p>
        </w:tc>
        <w:tc>
          <w:tcPr>
            <w:tcW w:w="3178"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546"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明细表详见1-4-1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57"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3</w:t>
            </w:r>
          </w:p>
        </w:tc>
        <w:tc>
          <w:tcPr>
            <w:tcW w:w="2687"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总承包服务费</w:t>
            </w:r>
          </w:p>
        </w:tc>
        <w:tc>
          <w:tcPr>
            <w:tcW w:w="3178"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546"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明细表详见1-4-2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57"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4</w:t>
            </w:r>
          </w:p>
        </w:tc>
        <w:tc>
          <w:tcPr>
            <w:tcW w:w="2687"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标化工地增加费</w:t>
            </w:r>
          </w:p>
        </w:tc>
        <w:tc>
          <w:tcPr>
            <w:tcW w:w="3178"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546"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暂列费用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57"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5</w:t>
            </w:r>
          </w:p>
        </w:tc>
        <w:tc>
          <w:tcPr>
            <w:tcW w:w="2687"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优质工程增加费</w:t>
            </w:r>
          </w:p>
        </w:tc>
        <w:tc>
          <w:tcPr>
            <w:tcW w:w="3178"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546"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暂列费用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57"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687"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3178"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546"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57"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687"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合计</w:t>
            </w:r>
          </w:p>
        </w:tc>
        <w:tc>
          <w:tcPr>
            <w:tcW w:w="3178"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546"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bl>
    <w:p>
      <w:pPr>
        <w:wordWrap w:val="0"/>
        <w:jc w:val="center"/>
        <w:outlineLvl w:val="4"/>
        <w:rPr>
          <w:rFonts w:cs="仿宋"/>
          <w:b/>
          <w:bCs/>
          <w:color w:val="auto"/>
          <w:sz w:val="32"/>
          <w:szCs w:val="28"/>
          <w:highlight w:val="none"/>
        </w:rPr>
      </w:pPr>
      <w:r>
        <w:rPr>
          <w:rFonts w:hint="eastAsia" w:ascii="宋体" w:hAnsi="宋体" w:cs="仿宋"/>
          <w:b/>
          <w:bCs/>
          <w:color w:val="auto"/>
          <w:sz w:val="32"/>
          <w:szCs w:val="28"/>
          <w:highlight w:val="none"/>
        </w:rPr>
        <w:br w:type="page"/>
      </w:r>
      <w:r>
        <w:rPr>
          <w:rFonts w:hint="eastAsia" w:ascii="宋体" w:hAnsi="宋体" w:cs="仿宋"/>
          <w:b/>
          <w:bCs/>
          <w:color w:val="auto"/>
          <w:sz w:val="32"/>
          <w:szCs w:val="28"/>
          <w:highlight w:val="none"/>
        </w:rPr>
        <w:t>表1-4-1  计日工表</w:t>
      </w:r>
    </w:p>
    <w:p>
      <w:pPr>
        <w:wordWrap w:val="0"/>
        <w:adjustRightInd/>
        <w:spacing w:line="460" w:lineRule="exact"/>
        <w:rPr>
          <w:rFonts w:cs="仿宋"/>
          <w:color w:val="auto"/>
          <w:highlight w:val="none"/>
        </w:rPr>
      </w:pPr>
      <w:r>
        <w:rPr>
          <w:rFonts w:hint="eastAsia" w:ascii="宋体" w:hAnsi="宋体" w:cs="仿宋"/>
          <w:color w:val="auto"/>
          <w:highlight w:val="none"/>
        </w:rPr>
        <w:t xml:space="preserve">工程名称：                                   </w:t>
      </w:r>
    </w:p>
    <w:p>
      <w:pPr>
        <w:wordWrap w:val="0"/>
        <w:adjustRightInd/>
        <w:spacing w:line="460" w:lineRule="exact"/>
        <w:rPr>
          <w:rFonts w:cs="仿宋"/>
          <w:color w:val="auto"/>
          <w:highlight w:val="none"/>
        </w:rPr>
      </w:pPr>
      <w:r>
        <w:rPr>
          <w:rFonts w:hint="eastAsia" w:ascii="宋体" w:hAnsi="宋体" w:cs="仿宋"/>
          <w:color w:val="auto"/>
          <w:highlight w:val="none"/>
        </w:rPr>
        <w:t>单位工程名称：                                     第  页共  页</w:t>
      </w:r>
    </w:p>
    <w:tbl>
      <w:tblPr>
        <w:tblStyle w:val="63"/>
        <w:tblW w:w="9189" w:type="dxa"/>
        <w:tblInd w:w="118"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28"/>
        <w:gridCol w:w="2880"/>
        <w:gridCol w:w="960"/>
        <w:gridCol w:w="1506"/>
        <w:gridCol w:w="1509"/>
        <w:gridCol w:w="1506"/>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28" w:type="dxa"/>
            <w:tcBorders>
              <w:top w:val="single" w:color="auto" w:sz="8" w:space="0"/>
              <w:left w:val="single" w:color="auto" w:sz="8"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编号</w:t>
            </w:r>
          </w:p>
        </w:tc>
        <w:tc>
          <w:tcPr>
            <w:tcW w:w="2880" w:type="dxa"/>
            <w:tcBorders>
              <w:top w:val="single" w:color="auto" w:sz="8"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项 目 名 称</w:t>
            </w:r>
          </w:p>
        </w:tc>
        <w:tc>
          <w:tcPr>
            <w:tcW w:w="960" w:type="dxa"/>
            <w:tcBorders>
              <w:top w:val="single" w:color="auto" w:sz="8"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单位</w:t>
            </w:r>
          </w:p>
        </w:tc>
        <w:tc>
          <w:tcPr>
            <w:tcW w:w="1506" w:type="dxa"/>
            <w:tcBorders>
              <w:top w:val="single" w:color="auto" w:sz="8"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数量</w:t>
            </w:r>
          </w:p>
        </w:tc>
        <w:tc>
          <w:tcPr>
            <w:tcW w:w="1509" w:type="dxa"/>
            <w:tcBorders>
              <w:top w:val="single" w:color="auto" w:sz="8"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综合单价（元）</w:t>
            </w:r>
          </w:p>
        </w:tc>
        <w:tc>
          <w:tcPr>
            <w:tcW w:w="1506" w:type="dxa"/>
            <w:tcBorders>
              <w:top w:val="single" w:color="auto" w:sz="8" w:space="0"/>
              <w:left w:val="single" w:color="auto" w:sz="6" w:space="0"/>
              <w:bottom w:val="single" w:color="auto" w:sz="6" w:space="0"/>
              <w:right w:val="single" w:color="auto" w:sz="8"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合价（元）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28" w:type="dxa"/>
            <w:tcBorders>
              <w:top w:val="single" w:color="auto" w:sz="6" w:space="0"/>
              <w:left w:val="single" w:color="auto" w:sz="8"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（1）</w:t>
            </w:r>
          </w:p>
        </w:tc>
        <w:tc>
          <w:tcPr>
            <w:tcW w:w="2880"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（2）</w:t>
            </w:r>
          </w:p>
        </w:tc>
        <w:tc>
          <w:tcPr>
            <w:tcW w:w="960"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（3）</w:t>
            </w:r>
          </w:p>
        </w:tc>
        <w:tc>
          <w:tcPr>
            <w:tcW w:w="1506"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（4）</w:t>
            </w:r>
          </w:p>
        </w:tc>
        <w:tc>
          <w:tcPr>
            <w:tcW w:w="1509"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506" w:type="dxa"/>
            <w:tcBorders>
              <w:top w:val="single" w:color="auto" w:sz="6" w:space="0"/>
              <w:left w:val="single" w:color="auto" w:sz="6" w:space="0"/>
              <w:bottom w:val="single" w:color="auto" w:sz="6" w:space="0"/>
              <w:right w:val="single" w:color="auto" w:sz="8" w:space="0"/>
            </w:tcBorders>
            <w:noWrap/>
            <w:vAlign w:val="center"/>
          </w:tcPr>
          <w:p>
            <w:pPr>
              <w:wordWrap w:val="0"/>
              <w:adjustRightInd/>
              <w:spacing w:line="460" w:lineRule="exact"/>
              <w:jc w:val="center"/>
              <w:rPr>
                <w:rFonts w:cs="仿宋"/>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28" w:type="dxa"/>
            <w:tcBorders>
              <w:top w:val="single" w:color="auto" w:sz="6" w:space="0"/>
              <w:left w:val="single" w:color="auto" w:sz="8"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一</w:t>
            </w:r>
          </w:p>
        </w:tc>
        <w:tc>
          <w:tcPr>
            <w:tcW w:w="2880"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人    工</w:t>
            </w:r>
          </w:p>
        </w:tc>
        <w:tc>
          <w:tcPr>
            <w:tcW w:w="960"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506"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509"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506" w:type="dxa"/>
            <w:tcBorders>
              <w:top w:val="single" w:color="auto" w:sz="6" w:space="0"/>
              <w:left w:val="single" w:color="auto" w:sz="6" w:space="0"/>
              <w:bottom w:val="single" w:color="auto" w:sz="6" w:space="0"/>
              <w:right w:val="single" w:color="auto" w:sz="8" w:space="0"/>
            </w:tcBorders>
            <w:noWrap/>
            <w:vAlign w:val="center"/>
          </w:tcPr>
          <w:p>
            <w:pPr>
              <w:wordWrap w:val="0"/>
              <w:adjustRightInd/>
              <w:spacing w:line="460" w:lineRule="exact"/>
              <w:jc w:val="center"/>
              <w:rPr>
                <w:rFonts w:cs="仿宋"/>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28" w:type="dxa"/>
            <w:tcBorders>
              <w:top w:val="single" w:color="auto" w:sz="6" w:space="0"/>
              <w:left w:val="single" w:color="auto" w:sz="8"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1</w:t>
            </w:r>
          </w:p>
        </w:tc>
        <w:tc>
          <w:tcPr>
            <w:tcW w:w="2880"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960"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506"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509"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506" w:type="dxa"/>
            <w:tcBorders>
              <w:top w:val="single" w:color="auto" w:sz="6" w:space="0"/>
              <w:left w:val="single" w:color="auto" w:sz="6" w:space="0"/>
              <w:bottom w:val="single" w:color="auto" w:sz="6" w:space="0"/>
              <w:right w:val="single" w:color="auto" w:sz="8" w:space="0"/>
            </w:tcBorders>
            <w:noWrap/>
            <w:vAlign w:val="center"/>
          </w:tcPr>
          <w:p>
            <w:pPr>
              <w:wordWrap w:val="0"/>
              <w:adjustRightInd/>
              <w:spacing w:line="460" w:lineRule="exact"/>
              <w:jc w:val="center"/>
              <w:rPr>
                <w:rFonts w:cs="仿宋"/>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28" w:type="dxa"/>
            <w:tcBorders>
              <w:top w:val="single" w:color="auto" w:sz="6" w:space="0"/>
              <w:left w:val="single" w:color="auto" w:sz="8"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2</w:t>
            </w:r>
          </w:p>
        </w:tc>
        <w:tc>
          <w:tcPr>
            <w:tcW w:w="2880"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960"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506"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509"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506" w:type="dxa"/>
            <w:tcBorders>
              <w:top w:val="single" w:color="auto" w:sz="6" w:space="0"/>
              <w:left w:val="single" w:color="auto" w:sz="6" w:space="0"/>
              <w:bottom w:val="single" w:color="auto" w:sz="6" w:space="0"/>
              <w:right w:val="single" w:color="auto" w:sz="8" w:space="0"/>
            </w:tcBorders>
            <w:noWrap/>
            <w:vAlign w:val="center"/>
          </w:tcPr>
          <w:p>
            <w:pPr>
              <w:wordWrap w:val="0"/>
              <w:adjustRightInd/>
              <w:spacing w:line="460" w:lineRule="exact"/>
              <w:jc w:val="center"/>
              <w:rPr>
                <w:rFonts w:cs="仿宋"/>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28" w:type="dxa"/>
            <w:tcBorders>
              <w:top w:val="single" w:color="auto" w:sz="6" w:space="0"/>
              <w:left w:val="single" w:color="auto" w:sz="8"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3</w:t>
            </w:r>
          </w:p>
        </w:tc>
        <w:tc>
          <w:tcPr>
            <w:tcW w:w="2880"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960"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506"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509"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506" w:type="dxa"/>
            <w:tcBorders>
              <w:top w:val="single" w:color="auto" w:sz="6" w:space="0"/>
              <w:left w:val="single" w:color="auto" w:sz="6" w:space="0"/>
              <w:bottom w:val="single" w:color="auto" w:sz="6" w:space="0"/>
              <w:right w:val="single" w:color="auto" w:sz="8" w:space="0"/>
            </w:tcBorders>
            <w:noWrap/>
            <w:vAlign w:val="center"/>
          </w:tcPr>
          <w:p>
            <w:pPr>
              <w:wordWrap w:val="0"/>
              <w:adjustRightInd/>
              <w:spacing w:line="460" w:lineRule="exact"/>
              <w:jc w:val="center"/>
              <w:rPr>
                <w:rFonts w:cs="仿宋"/>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28" w:type="dxa"/>
            <w:tcBorders>
              <w:top w:val="single" w:color="auto" w:sz="6" w:space="0"/>
              <w:left w:val="single" w:color="auto" w:sz="8"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4</w:t>
            </w:r>
          </w:p>
        </w:tc>
        <w:tc>
          <w:tcPr>
            <w:tcW w:w="2880"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960"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506"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509"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506" w:type="dxa"/>
            <w:tcBorders>
              <w:top w:val="single" w:color="auto" w:sz="6" w:space="0"/>
              <w:left w:val="single" w:color="auto" w:sz="6" w:space="0"/>
              <w:bottom w:val="single" w:color="auto" w:sz="6" w:space="0"/>
              <w:right w:val="single" w:color="auto" w:sz="8" w:space="0"/>
            </w:tcBorders>
            <w:noWrap/>
            <w:vAlign w:val="center"/>
          </w:tcPr>
          <w:p>
            <w:pPr>
              <w:wordWrap w:val="0"/>
              <w:adjustRightInd/>
              <w:spacing w:line="460" w:lineRule="exact"/>
              <w:jc w:val="center"/>
              <w:rPr>
                <w:rFonts w:cs="仿宋"/>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683" w:type="dxa"/>
            <w:gridSpan w:val="5"/>
            <w:tcBorders>
              <w:top w:val="single" w:color="auto" w:sz="6" w:space="0"/>
              <w:left w:val="single" w:color="auto" w:sz="8"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人 工 小 计</w:t>
            </w:r>
          </w:p>
        </w:tc>
        <w:tc>
          <w:tcPr>
            <w:tcW w:w="1506" w:type="dxa"/>
            <w:tcBorders>
              <w:top w:val="single" w:color="auto" w:sz="6" w:space="0"/>
              <w:left w:val="single" w:color="auto" w:sz="6" w:space="0"/>
              <w:bottom w:val="single" w:color="auto" w:sz="6" w:space="0"/>
              <w:right w:val="single" w:color="auto" w:sz="8" w:space="0"/>
            </w:tcBorders>
            <w:noWrap/>
            <w:vAlign w:val="center"/>
          </w:tcPr>
          <w:p>
            <w:pPr>
              <w:wordWrap w:val="0"/>
              <w:adjustRightInd/>
              <w:spacing w:line="460" w:lineRule="exact"/>
              <w:jc w:val="center"/>
              <w:rPr>
                <w:rFonts w:cs="仿宋"/>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28" w:type="dxa"/>
            <w:tcBorders>
              <w:top w:val="single" w:color="auto" w:sz="6" w:space="0"/>
              <w:left w:val="single" w:color="auto" w:sz="8"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二</w:t>
            </w:r>
          </w:p>
        </w:tc>
        <w:tc>
          <w:tcPr>
            <w:tcW w:w="2880"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材    料</w:t>
            </w:r>
          </w:p>
        </w:tc>
        <w:tc>
          <w:tcPr>
            <w:tcW w:w="960"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506"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509"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506" w:type="dxa"/>
            <w:tcBorders>
              <w:top w:val="single" w:color="auto" w:sz="6" w:space="0"/>
              <w:left w:val="single" w:color="auto" w:sz="6" w:space="0"/>
              <w:bottom w:val="single" w:color="auto" w:sz="6" w:space="0"/>
              <w:right w:val="single" w:color="auto" w:sz="8" w:space="0"/>
            </w:tcBorders>
            <w:noWrap/>
            <w:vAlign w:val="center"/>
          </w:tcPr>
          <w:p>
            <w:pPr>
              <w:wordWrap w:val="0"/>
              <w:adjustRightInd/>
              <w:spacing w:line="460" w:lineRule="exact"/>
              <w:jc w:val="center"/>
              <w:rPr>
                <w:rFonts w:cs="仿宋"/>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28" w:type="dxa"/>
            <w:tcBorders>
              <w:top w:val="single" w:color="auto" w:sz="6" w:space="0"/>
              <w:left w:val="single" w:color="auto" w:sz="8"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1</w:t>
            </w:r>
          </w:p>
        </w:tc>
        <w:tc>
          <w:tcPr>
            <w:tcW w:w="2880"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960"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506"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509"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506" w:type="dxa"/>
            <w:tcBorders>
              <w:top w:val="single" w:color="auto" w:sz="6" w:space="0"/>
              <w:left w:val="single" w:color="auto" w:sz="6" w:space="0"/>
              <w:bottom w:val="single" w:color="auto" w:sz="6" w:space="0"/>
              <w:right w:val="single" w:color="auto" w:sz="8" w:space="0"/>
            </w:tcBorders>
            <w:noWrap/>
            <w:vAlign w:val="center"/>
          </w:tcPr>
          <w:p>
            <w:pPr>
              <w:wordWrap w:val="0"/>
              <w:adjustRightInd/>
              <w:spacing w:line="460" w:lineRule="exact"/>
              <w:jc w:val="center"/>
              <w:rPr>
                <w:rFonts w:cs="仿宋"/>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28" w:type="dxa"/>
            <w:tcBorders>
              <w:top w:val="single" w:color="auto" w:sz="6" w:space="0"/>
              <w:left w:val="single" w:color="auto" w:sz="8"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2</w:t>
            </w:r>
          </w:p>
        </w:tc>
        <w:tc>
          <w:tcPr>
            <w:tcW w:w="2880"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960"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506"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509"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506" w:type="dxa"/>
            <w:tcBorders>
              <w:top w:val="single" w:color="auto" w:sz="6" w:space="0"/>
              <w:left w:val="single" w:color="auto" w:sz="6" w:space="0"/>
              <w:bottom w:val="single" w:color="auto" w:sz="6" w:space="0"/>
              <w:right w:val="single" w:color="auto" w:sz="8" w:space="0"/>
            </w:tcBorders>
            <w:noWrap/>
            <w:vAlign w:val="center"/>
          </w:tcPr>
          <w:p>
            <w:pPr>
              <w:wordWrap w:val="0"/>
              <w:adjustRightInd/>
              <w:spacing w:line="460" w:lineRule="exact"/>
              <w:jc w:val="center"/>
              <w:rPr>
                <w:rFonts w:cs="仿宋"/>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28" w:type="dxa"/>
            <w:tcBorders>
              <w:top w:val="single" w:color="auto" w:sz="6" w:space="0"/>
              <w:left w:val="single" w:color="auto" w:sz="8"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3</w:t>
            </w:r>
          </w:p>
        </w:tc>
        <w:tc>
          <w:tcPr>
            <w:tcW w:w="2880"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960"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506"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509"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506" w:type="dxa"/>
            <w:tcBorders>
              <w:top w:val="single" w:color="auto" w:sz="6" w:space="0"/>
              <w:left w:val="single" w:color="auto" w:sz="6" w:space="0"/>
              <w:bottom w:val="single" w:color="auto" w:sz="6" w:space="0"/>
              <w:right w:val="single" w:color="auto" w:sz="8" w:space="0"/>
            </w:tcBorders>
            <w:noWrap/>
            <w:vAlign w:val="center"/>
          </w:tcPr>
          <w:p>
            <w:pPr>
              <w:wordWrap w:val="0"/>
              <w:adjustRightInd/>
              <w:spacing w:line="460" w:lineRule="exact"/>
              <w:jc w:val="center"/>
              <w:rPr>
                <w:rFonts w:cs="仿宋"/>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28" w:type="dxa"/>
            <w:tcBorders>
              <w:top w:val="single" w:color="auto" w:sz="6" w:space="0"/>
              <w:left w:val="single" w:color="auto" w:sz="8"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4</w:t>
            </w:r>
          </w:p>
        </w:tc>
        <w:tc>
          <w:tcPr>
            <w:tcW w:w="2880"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960"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506"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509"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506" w:type="dxa"/>
            <w:tcBorders>
              <w:top w:val="single" w:color="auto" w:sz="6" w:space="0"/>
              <w:left w:val="single" w:color="auto" w:sz="6" w:space="0"/>
              <w:bottom w:val="single" w:color="auto" w:sz="6" w:space="0"/>
              <w:right w:val="single" w:color="auto" w:sz="8" w:space="0"/>
            </w:tcBorders>
            <w:noWrap/>
            <w:vAlign w:val="center"/>
          </w:tcPr>
          <w:p>
            <w:pPr>
              <w:wordWrap w:val="0"/>
              <w:adjustRightInd/>
              <w:spacing w:line="460" w:lineRule="exact"/>
              <w:jc w:val="center"/>
              <w:rPr>
                <w:rFonts w:cs="仿宋"/>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683" w:type="dxa"/>
            <w:gridSpan w:val="5"/>
            <w:tcBorders>
              <w:top w:val="single" w:color="auto" w:sz="6" w:space="0"/>
              <w:left w:val="single" w:color="auto" w:sz="8"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材 料 小 计</w:t>
            </w:r>
          </w:p>
        </w:tc>
        <w:tc>
          <w:tcPr>
            <w:tcW w:w="1506" w:type="dxa"/>
            <w:tcBorders>
              <w:top w:val="single" w:color="auto" w:sz="6" w:space="0"/>
              <w:left w:val="single" w:color="auto" w:sz="6" w:space="0"/>
              <w:bottom w:val="single" w:color="auto" w:sz="6" w:space="0"/>
              <w:right w:val="single" w:color="auto" w:sz="8" w:space="0"/>
            </w:tcBorders>
            <w:noWrap/>
            <w:vAlign w:val="center"/>
          </w:tcPr>
          <w:p>
            <w:pPr>
              <w:wordWrap w:val="0"/>
              <w:adjustRightInd/>
              <w:spacing w:line="460" w:lineRule="exact"/>
              <w:jc w:val="center"/>
              <w:rPr>
                <w:rFonts w:cs="仿宋"/>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28" w:type="dxa"/>
            <w:tcBorders>
              <w:top w:val="single" w:color="auto" w:sz="6" w:space="0"/>
              <w:left w:val="single" w:color="auto" w:sz="8"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三</w:t>
            </w:r>
          </w:p>
        </w:tc>
        <w:tc>
          <w:tcPr>
            <w:tcW w:w="2880"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施工机械</w:t>
            </w:r>
          </w:p>
        </w:tc>
        <w:tc>
          <w:tcPr>
            <w:tcW w:w="960"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506"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509"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506" w:type="dxa"/>
            <w:tcBorders>
              <w:top w:val="single" w:color="auto" w:sz="6" w:space="0"/>
              <w:left w:val="single" w:color="auto" w:sz="6" w:space="0"/>
              <w:bottom w:val="single" w:color="auto" w:sz="6" w:space="0"/>
              <w:right w:val="single" w:color="auto" w:sz="8" w:space="0"/>
            </w:tcBorders>
            <w:noWrap/>
            <w:vAlign w:val="center"/>
          </w:tcPr>
          <w:p>
            <w:pPr>
              <w:wordWrap w:val="0"/>
              <w:adjustRightInd/>
              <w:spacing w:line="460" w:lineRule="exact"/>
              <w:jc w:val="center"/>
              <w:rPr>
                <w:rFonts w:cs="仿宋"/>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28" w:type="dxa"/>
            <w:tcBorders>
              <w:top w:val="single" w:color="auto" w:sz="6" w:space="0"/>
              <w:left w:val="single" w:color="auto" w:sz="8"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1</w:t>
            </w:r>
          </w:p>
        </w:tc>
        <w:tc>
          <w:tcPr>
            <w:tcW w:w="2880"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960"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506"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509"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506" w:type="dxa"/>
            <w:tcBorders>
              <w:top w:val="single" w:color="auto" w:sz="6" w:space="0"/>
              <w:left w:val="single" w:color="auto" w:sz="6" w:space="0"/>
              <w:bottom w:val="single" w:color="auto" w:sz="6" w:space="0"/>
              <w:right w:val="single" w:color="auto" w:sz="8" w:space="0"/>
            </w:tcBorders>
            <w:noWrap/>
            <w:vAlign w:val="center"/>
          </w:tcPr>
          <w:p>
            <w:pPr>
              <w:wordWrap w:val="0"/>
              <w:adjustRightInd/>
              <w:spacing w:line="460" w:lineRule="exact"/>
              <w:jc w:val="center"/>
              <w:rPr>
                <w:rFonts w:cs="仿宋"/>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28" w:type="dxa"/>
            <w:tcBorders>
              <w:top w:val="single" w:color="auto" w:sz="6" w:space="0"/>
              <w:left w:val="single" w:color="auto" w:sz="8"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2</w:t>
            </w:r>
          </w:p>
        </w:tc>
        <w:tc>
          <w:tcPr>
            <w:tcW w:w="2880"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960"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506"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509"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506" w:type="dxa"/>
            <w:tcBorders>
              <w:top w:val="single" w:color="auto" w:sz="6" w:space="0"/>
              <w:left w:val="single" w:color="auto" w:sz="6" w:space="0"/>
              <w:bottom w:val="single" w:color="auto" w:sz="6" w:space="0"/>
              <w:right w:val="single" w:color="auto" w:sz="8" w:space="0"/>
            </w:tcBorders>
            <w:noWrap/>
            <w:vAlign w:val="center"/>
          </w:tcPr>
          <w:p>
            <w:pPr>
              <w:wordWrap w:val="0"/>
              <w:adjustRightInd/>
              <w:spacing w:line="460" w:lineRule="exact"/>
              <w:jc w:val="center"/>
              <w:rPr>
                <w:rFonts w:cs="仿宋"/>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28" w:type="dxa"/>
            <w:tcBorders>
              <w:top w:val="single" w:color="auto" w:sz="6" w:space="0"/>
              <w:left w:val="single" w:color="auto" w:sz="8"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3</w:t>
            </w:r>
          </w:p>
        </w:tc>
        <w:tc>
          <w:tcPr>
            <w:tcW w:w="2880"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960"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506"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509"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506" w:type="dxa"/>
            <w:tcBorders>
              <w:top w:val="single" w:color="auto" w:sz="6" w:space="0"/>
              <w:left w:val="single" w:color="auto" w:sz="6" w:space="0"/>
              <w:bottom w:val="single" w:color="auto" w:sz="6" w:space="0"/>
              <w:right w:val="single" w:color="auto" w:sz="8" w:space="0"/>
            </w:tcBorders>
            <w:noWrap/>
            <w:vAlign w:val="center"/>
          </w:tcPr>
          <w:p>
            <w:pPr>
              <w:wordWrap w:val="0"/>
              <w:adjustRightInd/>
              <w:spacing w:line="460" w:lineRule="exact"/>
              <w:jc w:val="center"/>
              <w:rPr>
                <w:rFonts w:cs="仿宋"/>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28" w:type="dxa"/>
            <w:tcBorders>
              <w:top w:val="single" w:color="auto" w:sz="6" w:space="0"/>
              <w:left w:val="single" w:color="auto" w:sz="8"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4</w:t>
            </w:r>
          </w:p>
        </w:tc>
        <w:tc>
          <w:tcPr>
            <w:tcW w:w="2880"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960"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506"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509"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506" w:type="dxa"/>
            <w:tcBorders>
              <w:top w:val="single" w:color="auto" w:sz="6" w:space="0"/>
              <w:left w:val="single" w:color="auto" w:sz="6" w:space="0"/>
              <w:bottom w:val="single" w:color="auto" w:sz="6" w:space="0"/>
              <w:right w:val="single" w:color="auto" w:sz="8" w:space="0"/>
            </w:tcBorders>
            <w:noWrap/>
            <w:vAlign w:val="center"/>
          </w:tcPr>
          <w:p>
            <w:pPr>
              <w:wordWrap w:val="0"/>
              <w:adjustRightInd/>
              <w:spacing w:line="460" w:lineRule="exact"/>
              <w:jc w:val="center"/>
              <w:rPr>
                <w:rFonts w:cs="仿宋"/>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683" w:type="dxa"/>
            <w:gridSpan w:val="5"/>
            <w:tcBorders>
              <w:top w:val="single" w:color="auto" w:sz="6" w:space="0"/>
              <w:left w:val="single" w:color="auto" w:sz="8"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施工机械小计</w:t>
            </w:r>
          </w:p>
        </w:tc>
        <w:tc>
          <w:tcPr>
            <w:tcW w:w="1506" w:type="dxa"/>
            <w:tcBorders>
              <w:top w:val="single" w:color="auto" w:sz="6" w:space="0"/>
              <w:left w:val="single" w:color="auto" w:sz="6" w:space="0"/>
              <w:bottom w:val="single" w:color="auto" w:sz="6" w:space="0"/>
              <w:right w:val="single" w:color="auto" w:sz="8" w:space="0"/>
            </w:tcBorders>
            <w:noWrap/>
            <w:vAlign w:val="center"/>
          </w:tcPr>
          <w:p>
            <w:pPr>
              <w:wordWrap w:val="0"/>
              <w:adjustRightInd/>
              <w:spacing w:line="460" w:lineRule="exact"/>
              <w:jc w:val="center"/>
              <w:rPr>
                <w:rFonts w:cs="仿宋"/>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683" w:type="dxa"/>
            <w:gridSpan w:val="5"/>
            <w:tcBorders>
              <w:top w:val="single" w:color="auto" w:sz="6" w:space="0"/>
              <w:left w:val="single" w:color="auto" w:sz="8" w:space="0"/>
              <w:bottom w:val="single" w:color="auto" w:sz="8" w:space="0"/>
              <w:right w:val="single" w:color="auto" w:sz="6"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合    计</w:t>
            </w:r>
          </w:p>
        </w:tc>
        <w:tc>
          <w:tcPr>
            <w:tcW w:w="1506" w:type="dxa"/>
            <w:tcBorders>
              <w:top w:val="single" w:color="auto" w:sz="6" w:space="0"/>
              <w:left w:val="single" w:color="auto" w:sz="6" w:space="0"/>
              <w:bottom w:val="single" w:color="auto" w:sz="8" w:space="0"/>
              <w:right w:val="single" w:color="auto" w:sz="8" w:space="0"/>
            </w:tcBorders>
            <w:noWrap/>
            <w:vAlign w:val="center"/>
          </w:tcPr>
          <w:p>
            <w:pPr>
              <w:wordWrap w:val="0"/>
              <w:adjustRightInd/>
              <w:spacing w:line="460" w:lineRule="exact"/>
              <w:jc w:val="center"/>
              <w:rPr>
                <w:rFonts w:cs="仿宋"/>
                <w:color w:val="auto"/>
                <w:highlight w:val="none"/>
              </w:rPr>
            </w:pPr>
          </w:p>
        </w:tc>
      </w:tr>
    </w:tbl>
    <w:p>
      <w:pPr>
        <w:wordWrap w:val="0"/>
        <w:adjustRightInd/>
        <w:spacing w:line="460" w:lineRule="exact"/>
        <w:ind w:firstLine="420" w:firstLineChars="200"/>
        <w:rPr>
          <w:rFonts w:cs="仿宋"/>
          <w:color w:val="auto"/>
          <w:highlight w:val="none"/>
        </w:rPr>
      </w:pPr>
      <w:r>
        <w:rPr>
          <w:rFonts w:hint="eastAsia" w:ascii="宋体" w:hAnsi="宋体" w:cs="仿宋"/>
          <w:color w:val="auto"/>
          <w:highlight w:val="none"/>
        </w:rPr>
        <w:t>注：表中（1）～（4）由招标人按需要提出，其中第（4）栏数量为暂定。</w:t>
      </w:r>
    </w:p>
    <w:p>
      <w:pPr>
        <w:wordWrap w:val="0"/>
        <w:jc w:val="center"/>
        <w:outlineLvl w:val="4"/>
        <w:rPr>
          <w:rFonts w:cs="仿宋"/>
          <w:b/>
          <w:bCs/>
          <w:color w:val="auto"/>
          <w:sz w:val="32"/>
          <w:szCs w:val="28"/>
          <w:highlight w:val="none"/>
        </w:rPr>
      </w:pPr>
      <w:r>
        <w:rPr>
          <w:rFonts w:hint="eastAsia" w:ascii="宋体" w:hAnsi="宋体" w:cs="仿宋"/>
          <w:b/>
          <w:bCs/>
          <w:color w:val="auto"/>
          <w:sz w:val="32"/>
          <w:szCs w:val="28"/>
          <w:highlight w:val="none"/>
        </w:rPr>
        <w:br w:type="page"/>
      </w:r>
      <w:r>
        <w:rPr>
          <w:rFonts w:hint="eastAsia" w:ascii="宋体" w:hAnsi="宋体" w:cs="仿宋"/>
          <w:b/>
          <w:bCs/>
          <w:color w:val="auto"/>
          <w:sz w:val="32"/>
          <w:szCs w:val="28"/>
          <w:highlight w:val="none"/>
        </w:rPr>
        <w:t>表1-4-2  总承包服务费项目及计价表</w:t>
      </w:r>
    </w:p>
    <w:p>
      <w:pPr>
        <w:wordWrap w:val="0"/>
        <w:adjustRightInd/>
        <w:spacing w:line="460" w:lineRule="exact"/>
        <w:rPr>
          <w:rFonts w:cs="仿宋"/>
          <w:color w:val="auto"/>
          <w:highlight w:val="none"/>
        </w:rPr>
      </w:pPr>
      <w:r>
        <w:rPr>
          <w:rFonts w:hint="eastAsia" w:ascii="宋体" w:hAnsi="宋体" w:cs="仿宋"/>
          <w:color w:val="auto"/>
          <w:highlight w:val="none"/>
        </w:rPr>
        <w:t>工程名称：                                                    第   页 共   页</w:t>
      </w:r>
    </w:p>
    <w:tbl>
      <w:tblPr>
        <w:tblStyle w:val="63"/>
        <w:tblW w:w="9468" w:type="dxa"/>
        <w:tblInd w:w="118"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19"/>
        <w:gridCol w:w="2709"/>
        <w:gridCol w:w="1620"/>
        <w:gridCol w:w="1440"/>
        <w:gridCol w:w="1440"/>
        <w:gridCol w:w="144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30" w:hRule="atLeast"/>
        </w:trPr>
        <w:tc>
          <w:tcPr>
            <w:tcW w:w="819" w:type="dxa"/>
            <w:tcBorders>
              <w:top w:val="single" w:color="auto" w:sz="8" w:space="0"/>
              <w:left w:val="single" w:color="auto" w:sz="8"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序号</w:t>
            </w:r>
          </w:p>
        </w:tc>
        <w:tc>
          <w:tcPr>
            <w:tcW w:w="2709" w:type="dxa"/>
            <w:tcBorders>
              <w:top w:val="single" w:color="auto" w:sz="8"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项 目 名 称</w:t>
            </w:r>
          </w:p>
        </w:tc>
        <w:tc>
          <w:tcPr>
            <w:tcW w:w="1620" w:type="dxa"/>
            <w:tcBorders>
              <w:top w:val="single" w:color="auto" w:sz="8"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项目价值（元）</w:t>
            </w:r>
          </w:p>
        </w:tc>
        <w:tc>
          <w:tcPr>
            <w:tcW w:w="1440" w:type="dxa"/>
            <w:tcBorders>
              <w:top w:val="single" w:color="auto" w:sz="8"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服务内容</w:t>
            </w:r>
          </w:p>
        </w:tc>
        <w:tc>
          <w:tcPr>
            <w:tcW w:w="1440" w:type="dxa"/>
            <w:tcBorders>
              <w:top w:val="single" w:color="auto" w:sz="8"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费率（%）</w:t>
            </w:r>
          </w:p>
        </w:tc>
        <w:tc>
          <w:tcPr>
            <w:tcW w:w="1440" w:type="dxa"/>
            <w:tcBorders>
              <w:top w:val="single" w:color="auto" w:sz="8" w:space="0"/>
              <w:left w:val="single" w:color="auto" w:sz="6" w:space="0"/>
              <w:bottom w:val="single" w:color="auto" w:sz="6" w:space="0"/>
              <w:right w:val="single" w:color="auto" w:sz="8"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金额（元）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30" w:hRule="atLeast"/>
        </w:trPr>
        <w:tc>
          <w:tcPr>
            <w:tcW w:w="819" w:type="dxa"/>
            <w:tcBorders>
              <w:top w:val="single" w:color="auto" w:sz="6" w:space="0"/>
              <w:left w:val="single" w:color="auto" w:sz="8"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（1）</w:t>
            </w:r>
          </w:p>
        </w:tc>
        <w:tc>
          <w:tcPr>
            <w:tcW w:w="2709"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（2）</w:t>
            </w:r>
          </w:p>
        </w:tc>
        <w:tc>
          <w:tcPr>
            <w:tcW w:w="1620"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（3）</w:t>
            </w:r>
          </w:p>
        </w:tc>
        <w:tc>
          <w:tcPr>
            <w:tcW w:w="1440"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（4）</w:t>
            </w:r>
          </w:p>
        </w:tc>
        <w:tc>
          <w:tcPr>
            <w:tcW w:w="1440"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440" w:type="dxa"/>
            <w:tcBorders>
              <w:top w:val="single" w:color="auto" w:sz="6" w:space="0"/>
              <w:left w:val="single" w:color="auto" w:sz="6" w:space="0"/>
              <w:bottom w:val="single" w:color="auto" w:sz="6" w:space="0"/>
              <w:right w:val="single" w:color="auto" w:sz="8" w:space="0"/>
            </w:tcBorders>
            <w:noWrap/>
            <w:vAlign w:val="center"/>
          </w:tcPr>
          <w:p>
            <w:pPr>
              <w:wordWrap w:val="0"/>
              <w:adjustRightInd/>
              <w:spacing w:line="460" w:lineRule="exact"/>
              <w:jc w:val="center"/>
              <w:rPr>
                <w:rFonts w:cs="仿宋"/>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30" w:hRule="atLeast"/>
        </w:trPr>
        <w:tc>
          <w:tcPr>
            <w:tcW w:w="819" w:type="dxa"/>
            <w:tcBorders>
              <w:top w:val="single" w:color="auto" w:sz="6" w:space="0"/>
              <w:left w:val="single" w:color="auto" w:sz="8"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1</w:t>
            </w:r>
          </w:p>
        </w:tc>
        <w:tc>
          <w:tcPr>
            <w:tcW w:w="2709"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发包人分包专业工程</w:t>
            </w:r>
          </w:p>
        </w:tc>
        <w:tc>
          <w:tcPr>
            <w:tcW w:w="1620"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440"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440"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440" w:type="dxa"/>
            <w:tcBorders>
              <w:top w:val="single" w:color="auto" w:sz="6" w:space="0"/>
              <w:left w:val="single" w:color="auto" w:sz="6" w:space="0"/>
              <w:bottom w:val="single" w:color="auto" w:sz="6" w:space="0"/>
              <w:right w:val="single" w:color="auto" w:sz="8" w:space="0"/>
            </w:tcBorders>
            <w:noWrap/>
            <w:vAlign w:val="center"/>
          </w:tcPr>
          <w:p>
            <w:pPr>
              <w:wordWrap w:val="0"/>
              <w:adjustRightInd/>
              <w:spacing w:line="460" w:lineRule="exact"/>
              <w:jc w:val="center"/>
              <w:rPr>
                <w:rFonts w:cs="仿宋"/>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30" w:hRule="atLeast"/>
        </w:trPr>
        <w:tc>
          <w:tcPr>
            <w:tcW w:w="819" w:type="dxa"/>
            <w:tcBorders>
              <w:top w:val="single" w:color="auto" w:sz="6" w:space="0"/>
              <w:left w:val="single" w:color="auto" w:sz="8"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2</w:t>
            </w:r>
          </w:p>
        </w:tc>
        <w:tc>
          <w:tcPr>
            <w:tcW w:w="2709"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发包人供应材料</w:t>
            </w:r>
          </w:p>
        </w:tc>
        <w:tc>
          <w:tcPr>
            <w:tcW w:w="1620"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440"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440"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440" w:type="dxa"/>
            <w:tcBorders>
              <w:top w:val="single" w:color="auto" w:sz="6" w:space="0"/>
              <w:left w:val="single" w:color="auto" w:sz="6" w:space="0"/>
              <w:bottom w:val="single" w:color="auto" w:sz="6" w:space="0"/>
              <w:right w:val="single" w:color="auto" w:sz="8" w:space="0"/>
            </w:tcBorders>
            <w:noWrap/>
            <w:vAlign w:val="center"/>
          </w:tcPr>
          <w:p>
            <w:pPr>
              <w:wordWrap w:val="0"/>
              <w:adjustRightInd/>
              <w:spacing w:line="460" w:lineRule="exact"/>
              <w:jc w:val="center"/>
              <w:rPr>
                <w:rFonts w:cs="仿宋"/>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30" w:hRule="atLeast"/>
        </w:trPr>
        <w:tc>
          <w:tcPr>
            <w:tcW w:w="819" w:type="dxa"/>
            <w:tcBorders>
              <w:top w:val="single" w:color="auto" w:sz="6" w:space="0"/>
              <w:left w:val="single" w:color="auto" w:sz="8"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2709"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620"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440"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440"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440" w:type="dxa"/>
            <w:tcBorders>
              <w:top w:val="single" w:color="auto" w:sz="6" w:space="0"/>
              <w:left w:val="single" w:color="auto" w:sz="6" w:space="0"/>
              <w:bottom w:val="single" w:color="auto" w:sz="6" w:space="0"/>
              <w:right w:val="single" w:color="auto" w:sz="8" w:space="0"/>
            </w:tcBorders>
            <w:noWrap/>
            <w:vAlign w:val="center"/>
          </w:tcPr>
          <w:p>
            <w:pPr>
              <w:wordWrap w:val="0"/>
              <w:adjustRightInd/>
              <w:spacing w:line="460" w:lineRule="exact"/>
              <w:jc w:val="center"/>
              <w:rPr>
                <w:rFonts w:cs="仿宋"/>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30" w:hRule="atLeast"/>
        </w:trPr>
        <w:tc>
          <w:tcPr>
            <w:tcW w:w="819" w:type="dxa"/>
            <w:tcBorders>
              <w:top w:val="single" w:color="auto" w:sz="6" w:space="0"/>
              <w:left w:val="single" w:color="auto" w:sz="8"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2709"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620"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440"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440"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440" w:type="dxa"/>
            <w:tcBorders>
              <w:top w:val="single" w:color="auto" w:sz="6" w:space="0"/>
              <w:left w:val="single" w:color="auto" w:sz="6" w:space="0"/>
              <w:bottom w:val="single" w:color="auto" w:sz="6" w:space="0"/>
              <w:right w:val="single" w:color="auto" w:sz="8" w:space="0"/>
            </w:tcBorders>
            <w:noWrap/>
            <w:vAlign w:val="center"/>
          </w:tcPr>
          <w:p>
            <w:pPr>
              <w:wordWrap w:val="0"/>
              <w:adjustRightInd/>
              <w:spacing w:line="460" w:lineRule="exact"/>
              <w:jc w:val="center"/>
              <w:rPr>
                <w:rFonts w:cs="仿宋"/>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30" w:hRule="atLeast"/>
        </w:trPr>
        <w:tc>
          <w:tcPr>
            <w:tcW w:w="819" w:type="dxa"/>
            <w:tcBorders>
              <w:top w:val="single" w:color="auto" w:sz="6" w:space="0"/>
              <w:left w:val="single" w:color="auto" w:sz="8"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2709"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620"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440"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440"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440" w:type="dxa"/>
            <w:tcBorders>
              <w:top w:val="single" w:color="auto" w:sz="6" w:space="0"/>
              <w:left w:val="single" w:color="auto" w:sz="6" w:space="0"/>
              <w:bottom w:val="single" w:color="auto" w:sz="6" w:space="0"/>
              <w:right w:val="single" w:color="auto" w:sz="8" w:space="0"/>
            </w:tcBorders>
            <w:noWrap/>
            <w:vAlign w:val="center"/>
          </w:tcPr>
          <w:p>
            <w:pPr>
              <w:wordWrap w:val="0"/>
              <w:adjustRightInd/>
              <w:spacing w:line="460" w:lineRule="exact"/>
              <w:jc w:val="center"/>
              <w:rPr>
                <w:rFonts w:cs="仿宋"/>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30" w:hRule="atLeast"/>
        </w:trPr>
        <w:tc>
          <w:tcPr>
            <w:tcW w:w="819" w:type="dxa"/>
            <w:tcBorders>
              <w:top w:val="single" w:color="auto" w:sz="6" w:space="0"/>
              <w:left w:val="single" w:color="auto" w:sz="8"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2709"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620"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440"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440"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440" w:type="dxa"/>
            <w:tcBorders>
              <w:top w:val="single" w:color="auto" w:sz="6" w:space="0"/>
              <w:left w:val="single" w:color="auto" w:sz="6" w:space="0"/>
              <w:bottom w:val="single" w:color="auto" w:sz="6" w:space="0"/>
              <w:right w:val="single" w:color="auto" w:sz="8" w:space="0"/>
            </w:tcBorders>
            <w:noWrap/>
            <w:vAlign w:val="center"/>
          </w:tcPr>
          <w:p>
            <w:pPr>
              <w:wordWrap w:val="0"/>
              <w:adjustRightInd/>
              <w:spacing w:line="460" w:lineRule="exact"/>
              <w:jc w:val="center"/>
              <w:rPr>
                <w:rFonts w:cs="仿宋"/>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30" w:hRule="atLeast"/>
        </w:trPr>
        <w:tc>
          <w:tcPr>
            <w:tcW w:w="819" w:type="dxa"/>
            <w:tcBorders>
              <w:top w:val="single" w:color="auto" w:sz="6" w:space="0"/>
              <w:left w:val="single" w:color="auto" w:sz="8"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2709"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620"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440"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440"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440" w:type="dxa"/>
            <w:tcBorders>
              <w:top w:val="single" w:color="auto" w:sz="6" w:space="0"/>
              <w:left w:val="single" w:color="auto" w:sz="6" w:space="0"/>
              <w:bottom w:val="single" w:color="auto" w:sz="6" w:space="0"/>
              <w:right w:val="single" w:color="auto" w:sz="8" w:space="0"/>
            </w:tcBorders>
            <w:noWrap/>
            <w:vAlign w:val="center"/>
          </w:tcPr>
          <w:p>
            <w:pPr>
              <w:wordWrap w:val="0"/>
              <w:adjustRightInd/>
              <w:spacing w:line="460" w:lineRule="exact"/>
              <w:jc w:val="center"/>
              <w:rPr>
                <w:rFonts w:cs="仿宋"/>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30" w:hRule="atLeast"/>
        </w:trPr>
        <w:tc>
          <w:tcPr>
            <w:tcW w:w="819" w:type="dxa"/>
            <w:tcBorders>
              <w:top w:val="single" w:color="auto" w:sz="6" w:space="0"/>
              <w:left w:val="single" w:color="auto" w:sz="8"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2709"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620"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440"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440"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440" w:type="dxa"/>
            <w:tcBorders>
              <w:top w:val="single" w:color="auto" w:sz="6" w:space="0"/>
              <w:left w:val="single" w:color="auto" w:sz="6" w:space="0"/>
              <w:bottom w:val="single" w:color="auto" w:sz="6" w:space="0"/>
              <w:right w:val="single" w:color="auto" w:sz="8" w:space="0"/>
            </w:tcBorders>
            <w:noWrap/>
            <w:vAlign w:val="center"/>
          </w:tcPr>
          <w:p>
            <w:pPr>
              <w:wordWrap w:val="0"/>
              <w:adjustRightInd/>
              <w:spacing w:line="460" w:lineRule="exact"/>
              <w:jc w:val="center"/>
              <w:rPr>
                <w:rFonts w:cs="仿宋"/>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30" w:hRule="atLeast"/>
        </w:trPr>
        <w:tc>
          <w:tcPr>
            <w:tcW w:w="819" w:type="dxa"/>
            <w:tcBorders>
              <w:top w:val="single" w:color="auto" w:sz="6" w:space="0"/>
              <w:left w:val="single" w:color="auto" w:sz="8"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2709"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620"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440"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440"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440" w:type="dxa"/>
            <w:tcBorders>
              <w:top w:val="single" w:color="auto" w:sz="6" w:space="0"/>
              <w:left w:val="single" w:color="auto" w:sz="6" w:space="0"/>
              <w:bottom w:val="single" w:color="auto" w:sz="6" w:space="0"/>
              <w:right w:val="single" w:color="auto" w:sz="8" w:space="0"/>
            </w:tcBorders>
            <w:noWrap/>
            <w:vAlign w:val="center"/>
          </w:tcPr>
          <w:p>
            <w:pPr>
              <w:wordWrap w:val="0"/>
              <w:adjustRightInd/>
              <w:spacing w:line="460" w:lineRule="exact"/>
              <w:jc w:val="center"/>
              <w:rPr>
                <w:rFonts w:cs="仿宋"/>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30" w:hRule="atLeast"/>
        </w:trPr>
        <w:tc>
          <w:tcPr>
            <w:tcW w:w="819" w:type="dxa"/>
            <w:tcBorders>
              <w:top w:val="single" w:color="auto" w:sz="6" w:space="0"/>
              <w:left w:val="single" w:color="auto" w:sz="8"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2709"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620"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440"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440"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440" w:type="dxa"/>
            <w:tcBorders>
              <w:top w:val="single" w:color="auto" w:sz="6" w:space="0"/>
              <w:left w:val="single" w:color="auto" w:sz="6" w:space="0"/>
              <w:bottom w:val="single" w:color="auto" w:sz="6" w:space="0"/>
              <w:right w:val="single" w:color="auto" w:sz="8" w:space="0"/>
            </w:tcBorders>
            <w:noWrap/>
            <w:vAlign w:val="center"/>
          </w:tcPr>
          <w:p>
            <w:pPr>
              <w:wordWrap w:val="0"/>
              <w:adjustRightInd/>
              <w:spacing w:line="460" w:lineRule="exact"/>
              <w:jc w:val="center"/>
              <w:rPr>
                <w:rFonts w:cs="仿宋"/>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30" w:hRule="atLeast"/>
        </w:trPr>
        <w:tc>
          <w:tcPr>
            <w:tcW w:w="819" w:type="dxa"/>
            <w:tcBorders>
              <w:top w:val="single" w:color="auto" w:sz="6" w:space="0"/>
              <w:left w:val="single" w:color="auto" w:sz="8"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2709"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620"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440"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440"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440" w:type="dxa"/>
            <w:tcBorders>
              <w:top w:val="single" w:color="auto" w:sz="6" w:space="0"/>
              <w:left w:val="single" w:color="auto" w:sz="6" w:space="0"/>
              <w:bottom w:val="single" w:color="auto" w:sz="6" w:space="0"/>
              <w:right w:val="single" w:color="auto" w:sz="8" w:space="0"/>
            </w:tcBorders>
            <w:noWrap/>
            <w:vAlign w:val="center"/>
          </w:tcPr>
          <w:p>
            <w:pPr>
              <w:wordWrap w:val="0"/>
              <w:adjustRightInd/>
              <w:spacing w:line="460" w:lineRule="exact"/>
              <w:jc w:val="center"/>
              <w:rPr>
                <w:rFonts w:cs="仿宋"/>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0" w:hRule="atLeast"/>
        </w:trPr>
        <w:tc>
          <w:tcPr>
            <w:tcW w:w="8028" w:type="dxa"/>
            <w:gridSpan w:val="5"/>
            <w:tcBorders>
              <w:top w:val="single" w:color="auto" w:sz="6" w:space="0"/>
              <w:left w:val="single" w:color="auto" w:sz="8" w:space="0"/>
              <w:bottom w:val="single" w:color="auto" w:sz="8" w:space="0"/>
              <w:right w:val="single" w:color="auto" w:sz="6"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合    计</w:t>
            </w:r>
          </w:p>
        </w:tc>
        <w:tc>
          <w:tcPr>
            <w:tcW w:w="1440" w:type="dxa"/>
            <w:tcBorders>
              <w:top w:val="single" w:color="auto" w:sz="6" w:space="0"/>
              <w:left w:val="single" w:color="auto" w:sz="6" w:space="0"/>
              <w:bottom w:val="single" w:color="auto" w:sz="8" w:space="0"/>
              <w:right w:val="single" w:color="auto" w:sz="8" w:space="0"/>
            </w:tcBorders>
            <w:noWrap/>
            <w:vAlign w:val="center"/>
          </w:tcPr>
          <w:p>
            <w:pPr>
              <w:wordWrap w:val="0"/>
              <w:adjustRightInd/>
              <w:spacing w:line="460" w:lineRule="exact"/>
              <w:jc w:val="center"/>
              <w:rPr>
                <w:rFonts w:cs="仿宋"/>
                <w:color w:val="auto"/>
                <w:highlight w:val="none"/>
              </w:rPr>
            </w:pPr>
          </w:p>
        </w:tc>
      </w:tr>
    </w:tbl>
    <w:p>
      <w:pPr>
        <w:wordWrap w:val="0"/>
        <w:adjustRightInd/>
        <w:spacing w:line="460" w:lineRule="exact"/>
        <w:ind w:firstLine="420" w:firstLineChars="200"/>
        <w:rPr>
          <w:rFonts w:cs="仿宋"/>
          <w:color w:val="auto"/>
          <w:highlight w:val="none"/>
        </w:rPr>
      </w:pPr>
      <w:r>
        <w:rPr>
          <w:rFonts w:hint="eastAsia" w:ascii="宋体" w:hAnsi="宋体" w:cs="仿宋"/>
          <w:color w:val="auto"/>
          <w:highlight w:val="none"/>
        </w:rPr>
        <w:t>注：表中（1）～（4）由招标人按需要提出。</w:t>
      </w:r>
    </w:p>
    <w:p>
      <w:pPr>
        <w:wordWrap w:val="0"/>
        <w:adjustRightInd/>
        <w:spacing w:line="460" w:lineRule="exact"/>
        <w:ind w:firstLine="420" w:firstLineChars="200"/>
        <w:rPr>
          <w:rFonts w:cs="仿宋"/>
          <w:color w:val="auto"/>
          <w:highlight w:val="none"/>
        </w:rPr>
      </w:pPr>
    </w:p>
    <w:p>
      <w:pPr>
        <w:wordWrap w:val="0"/>
        <w:jc w:val="center"/>
        <w:outlineLvl w:val="4"/>
        <w:rPr>
          <w:rFonts w:cs="仿宋"/>
          <w:b/>
          <w:bCs/>
          <w:color w:val="auto"/>
          <w:sz w:val="32"/>
          <w:szCs w:val="28"/>
          <w:highlight w:val="none"/>
        </w:rPr>
      </w:pPr>
      <w:r>
        <w:rPr>
          <w:rFonts w:hint="eastAsia" w:ascii="宋体" w:hAnsi="宋体" w:cs="仿宋"/>
          <w:b/>
          <w:bCs/>
          <w:color w:val="auto"/>
          <w:sz w:val="32"/>
          <w:szCs w:val="28"/>
          <w:highlight w:val="none"/>
        </w:rPr>
        <w:br w:type="page"/>
      </w:r>
      <w:r>
        <w:rPr>
          <w:rFonts w:hint="eastAsia" w:ascii="宋体" w:hAnsi="宋体" w:cs="仿宋"/>
          <w:b/>
          <w:bCs/>
          <w:color w:val="auto"/>
          <w:sz w:val="32"/>
          <w:szCs w:val="28"/>
          <w:highlight w:val="none"/>
        </w:rPr>
        <w:t>表1-5  主要工日价格表</w:t>
      </w:r>
    </w:p>
    <w:p>
      <w:pPr>
        <w:wordWrap w:val="0"/>
        <w:adjustRightInd/>
        <w:spacing w:line="460" w:lineRule="exact"/>
        <w:ind w:firstLine="420" w:firstLineChars="200"/>
        <w:rPr>
          <w:rFonts w:cs="仿宋"/>
          <w:color w:val="auto"/>
          <w:highlight w:val="none"/>
        </w:rPr>
      </w:pPr>
      <w:r>
        <w:rPr>
          <w:rFonts w:hint="eastAsia" w:ascii="宋体" w:hAnsi="宋体" w:cs="仿宋"/>
          <w:color w:val="auto"/>
          <w:highlight w:val="none"/>
        </w:rPr>
        <w:t>工程名称：                                           第  页共  页</w:t>
      </w:r>
    </w:p>
    <w:tbl>
      <w:tblPr>
        <w:tblStyle w:val="63"/>
        <w:tblW w:w="7920"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
        <w:gridCol w:w="2504"/>
        <w:gridCol w:w="1080"/>
        <w:gridCol w:w="144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1" w:hRule="atLeast"/>
        </w:trPr>
        <w:tc>
          <w:tcPr>
            <w:tcW w:w="916"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序号</w:t>
            </w:r>
          </w:p>
        </w:tc>
        <w:tc>
          <w:tcPr>
            <w:tcW w:w="250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工  种</w:t>
            </w:r>
          </w:p>
        </w:tc>
        <w:tc>
          <w:tcPr>
            <w:tcW w:w="108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单位</w:t>
            </w:r>
          </w:p>
        </w:tc>
        <w:tc>
          <w:tcPr>
            <w:tcW w:w="144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数 量</w:t>
            </w:r>
          </w:p>
        </w:tc>
        <w:tc>
          <w:tcPr>
            <w:tcW w:w="198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单 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916"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r>
              <w:rPr>
                <w:rFonts w:hint="eastAsia" w:ascii="宋体" w:hAnsi="宋体" w:cs="仿宋"/>
                <w:color w:val="auto"/>
                <w:highlight w:val="none"/>
              </w:rPr>
              <w:t>（1）</w:t>
            </w:r>
          </w:p>
        </w:tc>
        <w:tc>
          <w:tcPr>
            <w:tcW w:w="2504"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r>
              <w:rPr>
                <w:rFonts w:hint="eastAsia" w:ascii="宋体" w:hAnsi="宋体" w:cs="仿宋"/>
                <w:color w:val="auto"/>
                <w:highlight w:val="none"/>
              </w:rPr>
              <w:t>（2）</w:t>
            </w:r>
          </w:p>
        </w:tc>
        <w:tc>
          <w:tcPr>
            <w:tcW w:w="108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r>
              <w:rPr>
                <w:rFonts w:hint="eastAsia" w:ascii="宋体" w:hAnsi="宋体" w:cs="仿宋"/>
                <w:color w:val="auto"/>
                <w:highlight w:val="none"/>
              </w:rPr>
              <w:t>工日</w:t>
            </w:r>
          </w:p>
        </w:tc>
        <w:tc>
          <w:tcPr>
            <w:tcW w:w="144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98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916"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2504"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08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44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98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916"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2504"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08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44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98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916"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2504"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08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44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98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916"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2504"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08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44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98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916"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2504"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08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44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98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916"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2504"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08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44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98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916"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2504"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08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44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98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916"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2504"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08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44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98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916"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2504"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08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44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98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916"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2504"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08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44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98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r>
    </w:tbl>
    <w:p>
      <w:pPr>
        <w:wordWrap w:val="0"/>
        <w:adjustRightInd/>
        <w:spacing w:line="460" w:lineRule="exact"/>
        <w:ind w:firstLine="420" w:firstLineChars="200"/>
        <w:rPr>
          <w:rFonts w:cs="仿宋"/>
          <w:color w:val="auto"/>
          <w:highlight w:val="none"/>
        </w:rPr>
      </w:pPr>
      <w:r>
        <w:rPr>
          <w:rFonts w:hint="eastAsia" w:ascii="宋体" w:hAnsi="宋体" w:cs="仿宋"/>
          <w:color w:val="auto"/>
          <w:highlight w:val="none"/>
        </w:rPr>
        <w:t>注：本表（1）、（2）栏由招标人按需要提出。</w:t>
      </w:r>
    </w:p>
    <w:p>
      <w:pPr>
        <w:wordWrap w:val="0"/>
        <w:adjustRightInd/>
        <w:spacing w:line="460" w:lineRule="exact"/>
        <w:ind w:firstLine="420" w:firstLineChars="200"/>
        <w:rPr>
          <w:rFonts w:cs="仿宋"/>
          <w:color w:val="auto"/>
          <w:highlight w:val="none"/>
        </w:rPr>
      </w:pPr>
    </w:p>
    <w:p>
      <w:pPr>
        <w:wordWrap w:val="0"/>
        <w:adjustRightInd/>
        <w:spacing w:line="460" w:lineRule="exact"/>
        <w:ind w:firstLine="420" w:firstLineChars="200"/>
        <w:rPr>
          <w:rFonts w:cs="仿宋"/>
          <w:color w:val="auto"/>
          <w:highlight w:val="none"/>
        </w:rPr>
      </w:pPr>
    </w:p>
    <w:p>
      <w:pPr>
        <w:ind w:firstLine="480"/>
        <w:rPr>
          <w:color w:val="auto"/>
          <w:highlight w:val="none"/>
        </w:rPr>
        <w:sectPr>
          <w:pgSz w:w="12240" w:h="15840"/>
          <w:pgMar w:top="1304" w:right="964" w:bottom="964" w:left="1531" w:header="720" w:footer="720" w:gutter="0"/>
          <w:cols w:space="720" w:num="1"/>
          <w:titlePg/>
          <w:docGrid w:linePitch="312" w:charSpace="0"/>
        </w:sectPr>
      </w:pPr>
    </w:p>
    <w:p>
      <w:pPr>
        <w:wordWrap w:val="0"/>
        <w:jc w:val="center"/>
        <w:outlineLvl w:val="4"/>
        <w:rPr>
          <w:rFonts w:cs="仿宋"/>
          <w:b/>
          <w:bCs/>
          <w:color w:val="auto"/>
          <w:sz w:val="32"/>
          <w:szCs w:val="28"/>
          <w:highlight w:val="none"/>
        </w:rPr>
      </w:pPr>
      <w:r>
        <w:rPr>
          <w:rFonts w:hint="eastAsia" w:ascii="宋体" w:hAnsi="宋体" w:cs="仿宋"/>
          <w:b/>
          <w:bCs/>
          <w:color w:val="auto"/>
          <w:sz w:val="32"/>
          <w:szCs w:val="28"/>
          <w:highlight w:val="none"/>
        </w:rPr>
        <w:t>表1-6  主要材料及设备价格表</w:t>
      </w:r>
    </w:p>
    <w:p>
      <w:pPr>
        <w:wordWrap w:val="0"/>
        <w:adjustRightInd/>
        <w:spacing w:line="460" w:lineRule="exact"/>
        <w:rPr>
          <w:rFonts w:cs="仿宋"/>
          <w:color w:val="auto"/>
          <w:highlight w:val="none"/>
        </w:rPr>
      </w:pPr>
      <w:r>
        <w:rPr>
          <w:rFonts w:hint="eastAsia" w:ascii="宋体" w:hAnsi="宋体" w:cs="仿宋"/>
          <w:color w:val="auto"/>
          <w:highlight w:val="none"/>
        </w:rPr>
        <w:t>工程名称：                                                         第  页 共  页</w:t>
      </w:r>
    </w:p>
    <w:tbl>
      <w:tblPr>
        <w:tblStyle w:val="63"/>
        <w:tblW w:w="1008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080"/>
        <w:gridCol w:w="1800"/>
        <w:gridCol w:w="1260"/>
        <w:gridCol w:w="1260"/>
        <w:gridCol w:w="1260"/>
        <w:gridCol w:w="12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6" w:hRule="atLeast"/>
        </w:trPr>
        <w:tc>
          <w:tcPr>
            <w:tcW w:w="90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序号</w:t>
            </w:r>
          </w:p>
        </w:tc>
        <w:tc>
          <w:tcPr>
            <w:tcW w:w="108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编码</w:t>
            </w:r>
          </w:p>
        </w:tc>
        <w:tc>
          <w:tcPr>
            <w:tcW w:w="180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材料或设备名称</w:t>
            </w:r>
          </w:p>
        </w:tc>
        <w:tc>
          <w:tcPr>
            <w:tcW w:w="126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规格、型号</w:t>
            </w:r>
          </w:p>
        </w:tc>
        <w:tc>
          <w:tcPr>
            <w:tcW w:w="126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单位</w:t>
            </w:r>
          </w:p>
        </w:tc>
        <w:tc>
          <w:tcPr>
            <w:tcW w:w="126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数量</w:t>
            </w:r>
          </w:p>
        </w:tc>
        <w:tc>
          <w:tcPr>
            <w:tcW w:w="126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单价（元）</w:t>
            </w:r>
          </w:p>
        </w:tc>
        <w:tc>
          <w:tcPr>
            <w:tcW w:w="126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90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（1）</w:t>
            </w:r>
          </w:p>
        </w:tc>
        <w:tc>
          <w:tcPr>
            <w:tcW w:w="108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（2）</w:t>
            </w:r>
          </w:p>
        </w:tc>
        <w:tc>
          <w:tcPr>
            <w:tcW w:w="180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（3）</w:t>
            </w:r>
          </w:p>
        </w:tc>
        <w:tc>
          <w:tcPr>
            <w:tcW w:w="126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（4）</w:t>
            </w:r>
          </w:p>
        </w:tc>
        <w:tc>
          <w:tcPr>
            <w:tcW w:w="126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（5）</w:t>
            </w:r>
          </w:p>
        </w:tc>
        <w:tc>
          <w:tcPr>
            <w:tcW w:w="126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26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26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90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08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80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26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26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26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26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26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90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08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80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26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26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26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26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26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90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08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80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26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26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26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26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26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90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08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80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26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26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26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26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26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90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08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80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26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26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26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26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26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90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08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80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26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26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26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26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26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90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08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80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26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26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26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26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26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90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08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80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26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26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26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26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26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r>
    </w:tbl>
    <w:p>
      <w:pPr>
        <w:wordWrap w:val="0"/>
        <w:adjustRightInd/>
        <w:spacing w:line="460" w:lineRule="exact"/>
        <w:ind w:firstLine="420" w:firstLineChars="200"/>
        <w:rPr>
          <w:rFonts w:cs="仿宋"/>
          <w:color w:val="auto"/>
          <w:highlight w:val="none"/>
        </w:rPr>
      </w:pPr>
      <w:r>
        <w:rPr>
          <w:rFonts w:hint="eastAsia" w:ascii="宋体" w:hAnsi="宋体" w:cs="仿宋"/>
          <w:color w:val="auto"/>
          <w:highlight w:val="none"/>
        </w:rPr>
        <w:t>注：1、表（1）（2）（3）（5）（6）栏由招标人按需要提出，投标人可补充。</w:t>
      </w:r>
    </w:p>
    <w:p>
      <w:pPr>
        <w:wordWrap w:val="0"/>
        <w:adjustRightInd/>
        <w:spacing w:line="460" w:lineRule="exact"/>
        <w:ind w:firstLine="420" w:firstLineChars="200"/>
        <w:rPr>
          <w:rFonts w:cs="仿宋"/>
          <w:color w:val="auto"/>
          <w:highlight w:val="none"/>
        </w:rPr>
      </w:pPr>
      <w:r>
        <w:rPr>
          <w:rFonts w:hint="eastAsia" w:ascii="宋体" w:hAnsi="宋体" w:cs="仿宋"/>
          <w:color w:val="auto"/>
          <w:highlight w:val="none"/>
        </w:rPr>
        <w:t>2、本表的材料及设备包括原材料、燃料、构配件以及按规定应计入建筑安装工程造价的设备。</w:t>
      </w:r>
    </w:p>
    <w:p>
      <w:pPr>
        <w:wordWrap w:val="0"/>
        <w:adjustRightInd/>
        <w:spacing w:line="460" w:lineRule="exact"/>
        <w:ind w:firstLine="420" w:firstLineChars="200"/>
        <w:rPr>
          <w:rFonts w:cs="仿宋"/>
          <w:color w:val="auto"/>
          <w:highlight w:val="none"/>
        </w:rPr>
      </w:pPr>
      <w:r>
        <w:rPr>
          <w:rFonts w:hint="eastAsia" w:ascii="宋体" w:hAnsi="宋体" w:cs="仿宋"/>
          <w:color w:val="auto"/>
          <w:highlight w:val="none"/>
        </w:rPr>
        <w:t xml:space="preserve"> 3、招标人指定、提供或暂定的材料和设备，按杭州市工程量清单计价实施细则的规定填写。</w:t>
      </w:r>
    </w:p>
    <w:p>
      <w:pPr>
        <w:rPr>
          <w:rFonts w:cs="仿宋"/>
          <w:b/>
          <w:bCs/>
          <w:color w:val="auto"/>
          <w:sz w:val="32"/>
          <w:szCs w:val="28"/>
          <w:highlight w:val="none"/>
        </w:rPr>
      </w:pPr>
      <w:r>
        <w:rPr>
          <w:rFonts w:hint="eastAsia" w:ascii="宋体" w:hAnsi="宋体" w:cs="仿宋"/>
          <w:b/>
          <w:bCs/>
          <w:color w:val="auto"/>
          <w:sz w:val="32"/>
          <w:szCs w:val="28"/>
          <w:highlight w:val="none"/>
        </w:rPr>
        <w:br w:type="page"/>
      </w:r>
    </w:p>
    <w:p>
      <w:pPr>
        <w:wordWrap w:val="0"/>
        <w:jc w:val="center"/>
        <w:outlineLvl w:val="4"/>
        <w:rPr>
          <w:rFonts w:cs="仿宋"/>
          <w:b/>
          <w:bCs/>
          <w:color w:val="auto"/>
          <w:sz w:val="32"/>
          <w:szCs w:val="28"/>
          <w:highlight w:val="none"/>
        </w:rPr>
      </w:pPr>
      <w:r>
        <w:rPr>
          <w:rFonts w:hint="eastAsia" w:ascii="宋体" w:hAnsi="宋体" w:cs="仿宋"/>
          <w:b/>
          <w:bCs/>
          <w:color w:val="auto"/>
          <w:sz w:val="32"/>
          <w:szCs w:val="28"/>
          <w:highlight w:val="none"/>
        </w:rPr>
        <w:t>表1-7  主要机械台班价格表</w:t>
      </w:r>
    </w:p>
    <w:p>
      <w:pPr>
        <w:wordWrap w:val="0"/>
        <w:adjustRightInd/>
        <w:spacing w:line="460" w:lineRule="exact"/>
        <w:rPr>
          <w:rFonts w:cs="仿宋"/>
          <w:color w:val="auto"/>
          <w:highlight w:val="none"/>
        </w:rPr>
      </w:pPr>
      <w:r>
        <w:rPr>
          <w:rFonts w:hint="eastAsia" w:ascii="宋体" w:hAnsi="宋体" w:cs="仿宋"/>
          <w:color w:val="auto"/>
          <w:highlight w:val="none"/>
        </w:rPr>
        <w:t>工程名称：                                                    第  页共  页</w:t>
      </w:r>
    </w:p>
    <w:tbl>
      <w:tblPr>
        <w:tblStyle w:val="63"/>
        <w:tblW w:w="882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
        <w:gridCol w:w="3060"/>
        <w:gridCol w:w="1244"/>
        <w:gridCol w:w="126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916"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序号</w:t>
            </w:r>
          </w:p>
        </w:tc>
        <w:tc>
          <w:tcPr>
            <w:tcW w:w="306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机械设备名称</w:t>
            </w:r>
          </w:p>
        </w:tc>
        <w:tc>
          <w:tcPr>
            <w:tcW w:w="124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单位</w:t>
            </w:r>
          </w:p>
        </w:tc>
        <w:tc>
          <w:tcPr>
            <w:tcW w:w="126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数量</w:t>
            </w:r>
          </w:p>
        </w:tc>
        <w:tc>
          <w:tcPr>
            <w:tcW w:w="234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916"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（1）</w:t>
            </w:r>
          </w:p>
        </w:tc>
        <w:tc>
          <w:tcPr>
            <w:tcW w:w="306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（2）</w:t>
            </w:r>
          </w:p>
        </w:tc>
        <w:tc>
          <w:tcPr>
            <w:tcW w:w="124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台班</w:t>
            </w:r>
          </w:p>
        </w:tc>
        <w:tc>
          <w:tcPr>
            <w:tcW w:w="126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234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916"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306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244"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26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234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916"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306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244"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26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234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916"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306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244"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26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234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916"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306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244"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26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234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916"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306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244"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26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234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916"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306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244"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26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234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916"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306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244"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26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234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916"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306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244"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26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234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916"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306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244"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26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234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916"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306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244"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26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234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r>
    </w:tbl>
    <w:p>
      <w:pPr>
        <w:wordWrap w:val="0"/>
        <w:adjustRightInd/>
        <w:spacing w:line="460" w:lineRule="exact"/>
        <w:ind w:firstLine="420" w:firstLineChars="200"/>
        <w:rPr>
          <w:rFonts w:ascii="宋体" w:hAnsi="宋体" w:cs="仿宋"/>
          <w:color w:val="auto"/>
          <w:highlight w:val="none"/>
        </w:rPr>
        <w:sectPr>
          <w:pgSz w:w="12240" w:h="15840"/>
          <w:pgMar w:top="964" w:right="1531" w:bottom="1304" w:left="964" w:header="720" w:footer="720" w:gutter="0"/>
          <w:cols w:space="720" w:num="1"/>
          <w:titlePg/>
          <w:docGrid w:linePitch="312" w:charSpace="0"/>
        </w:sectPr>
      </w:pPr>
      <w:r>
        <w:rPr>
          <w:rFonts w:hint="eastAsia" w:ascii="宋体" w:hAnsi="宋体" w:cs="仿宋"/>
          <w:color w:val="auto"/>
          <w:highlight w:val="none"/>
        </w:rPr>
        <w:t>注：表（1）（2）由招标人按需要提出，投标人可补充。</w:t>
      </w:r>
    </w:p>
    <w:p>
      <w:pPr>
        <w:wordWrap w:val="0"/>
        <w:adjustRightInd/>
        <w:spacing w:line="460" w:lineRule="exact"/>
        <w:ind w:firstLine="420" w:firstLineChars="200"/>
        <w:rPr>
          <w:rFonts w:cs="仿宋"/>
          <w:color w:val="auto"/>
          <w:highlight w:val="none"/>
        </w:rPr>
      </w:pPr>
    </w:p>
    <w:p>
      <w:pPr>
        <w:wordWrap w:val="0"/>
        <w:jc w:val="center"/>
        <w:outlineLvl w:val="4"/>
        <w:rPr>
          <w:rFonts w:ascii="宋体" w:hAnsi="宋体" w:cs="仿宋"/>
          <w:b/>
          <w:bCs/>
          <w:color w:val="auto"/>
          <w:sz w:val="32"/>
          <w:szCs w:val="28"/>
          <w:highlight w:val="none"/>
        </w:rPr>
      </w:pPr>
      <w:r>
        <w:rPr>
          <w:rFonts w:hint="eastAsia" w:ascii="宋体" w:hAnsi="宋体" w:cs="仿宋"/>
          <w:b/>
          <w:bCs/>
          <w:color w:val="auto"/>
          <w:sz w:val="32"/>
          <w:szCs w:val="28"/>
          <w:highlight w:val="none"/>
        </w:rPr>
        <w:t>表2-1  分部分项工程量清单综合单价分析表</w:t>
      </w:r>
    </w:p>
    <w:p>
      <w:pPr>
        <w:wordWrap w:val="0"/>
        <w:adjustRightInd/>
        <w:spacing w:line="460" w:lineRule="exact"/>
        <w:rPr>
          <w:rFonts w:cs="仿宋"/>
          <w:color w:val="auto"/>
          <w:highlight w:val="none"/>
        </w:rPr>
      </w:pPr>
      <w:r>
        <w:rPr>
          <w:rFonts w:hint="eastAsia" w:ascii="宋体" w:hAnsi="宋体" w:cs="仿宋"/>
          <w:color w:val="auto"/>
          <w:highlight w:val="none"/>
        </w:rPr>
        <w:t xml:space="preserve">工程名称：             </w:t>
      </w:r>
    </w:p>
    <w:p>
      <w:pPr>
        <w:wordWrap w:val="0"/>
        <w:adjustRightInd/>
        <w:spacing w:line="460" w:lineRule="exact"/>
        <w:jc w:val="right"/>
        <w:rPr>
          <w:rFonts w:cs="仿宋"/>
          <w:color w:val="auto"/>
          <w:highlight w:val="none"/>
        </w:rPr>
      </w:pPr>
      <w:r>
        <w:rPr>
          <w:rFonts w:hint="eastAsia" w:ascii="宋体" w:hAnsi="宋体" w:cs="仿宋"/>
          <w:color w:val="auto"/>
          <w:highlight w:val="none"/>
        </w:rPr>
        <w:t>第   页共   页</w:t>
      </w:r>
    </w:p>
    <w:tbl>
      <w:tblPr>
        <w:tblStyle w:val="63"/>
        <w:tblW w:w="134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7"/>
        <w:gridCol w:w="1720"/>
        <w:gridCol w:w="1653"/>
        <w:gridCol w:w="738"/>
        <w:gridCol w:w="902"/>
        <w:gridCol w:w="1080"/>
        <w:gridCol w:w="1080"/>
        <w:gridCol w:w="1080"/>
        <w:gridCol w:w="1080"/>
        <w:gridCol w:w="900"/>
        <w:gridCol w:w="860"/>
        <w:gridCol w:w="747"/>
        <w:gridCol w:w="1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387" w:type="dxa"/>
            <w:vMerge w:val="restart"/>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序号</w:t>
            </w:r>
          </w:p>
        </w:tc>
        <w:tc>
          <w:tcPr>
            <w:tcW w:w="1720" w:type="dxa"/>
            <w:vMerge w:val="restart"/>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编号</w:t>
            </w:r>
          </w:p>
        </w:tc>
        <w:tc>
          <w:tcPr>
            <w:tcW w:w="1653" w:type="dxa"/>
            <w:vMerge w:val="restart"/>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名称</w:t>
            </w:r>
          </w:p>
        </w:tc>
        <w:tc>
          <w:tcPr>
            <w:tcW w:w="738" w:type="dxa"/>
            <w:vMerge w:val="restart"/>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计量单位</w:t>
            </w:r>
          </w:p>
        </w:tc>
        <w:tc>
          <w:tcPr>
            <w:tcW w:w="902" w:type="dxa"/>
            <w:vMerge w:val="restart"/>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数量</w:t>
            </w:r>
          </w:p>
        </w:tc>
        <w:tc>
          <w:tcPr>
            <w:tcW w:w="6827" w:type="dxa"/>
            <w:gridSpan w:val="7"/>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综  合  单  价（元）</w:t>
            </w:r>
          </w:p>
        </w:tc>
        <w:tc>
          <w:tcPr>
            <w:tcW w:w="1268" w:type="dxa"/>
            <w:vMerge w:val="restart"/>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387" w:type="dxa"/>
            <w:vMerge w:val="continue"/>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720" w:type="dxa"/>
            <w:vMerge w:val="continue"/>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653" w:type="dxa"/>
            <w:vMerge w:val="continue"/>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738" w:type="dxa"/>
            <w:vMerge w:val="continue"/>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902" w:type="dxa"/>
            <w:vMerge w:val="continue"/>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08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人工费</w:t>
            </w:r>
          </w:p>
        </w:tc>
        <w:tc>
          <w:tcPr>
            <w:tcW w:w="108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材料费</w:t>
            </w:r>
          </w:p>
        </w:tc>
        <w:tc>
          <w:tcPr>
            <w:tcW w:w="108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机械费</w:t>
            </w:r>
          </w:p>
        </w:tc>
        <w:tc>
          <w:tcPr>
            <w:tcW w:w="108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管理费</w:t>
            </w:r>
          </w:p>
        </w:tc>
        <w:tc>
          <w:tcPr>
            <w:tcW w:w="90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利润</w:t>
            </w:r>
          </w:p>
        </w:tc>
        <w:tc>
          <w:tcPr>
            <w:tcW w:w="86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风险费用</w:t>
            </w:r>
          </w:p>
        </w:tc>
        <w:tc>
          <w:tcPr>
            <w:tcW w:w="747"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小计</w:t>
            </w:r>
          </w:p>
        </w:tc>
        <w:tc>
          <w:tcPr>
            <w:tcW w:w="1268" w:type="dxa"/>
            <w:vMerge w:val="continue"/>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387"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72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r>
              <w:rPr>
                <w:rFonts w:hint="eastAsia" w:ascii="宋体" w:hAnsi="宋体" w:cs="仿宋"/>
                <w:color w:val="auto"/>
                <w:highlight w:val="none"/>
              </w:rPr>
              <w:t>（1）</w:t>
            </w:r>
          </w:p>
        </w:tc>
        <w:tc>
          <w:tcPr>
            <w:tcW w:w="1653"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r>
              <w:rPr>
                <w:rFonts w:hint="eastAsia" w:ascii="宋体" w:hAnsi="宋体" w:cs="仿宋"/>
                <w:color w:val="auto"/>
                <w:highlight w:val="none"/>
              </w:rPr>
              <w:t>（2）</w:t>
            </w:r>
          </w:p>
        </w:tc>
        <w:tc>
          <w:tcPr>
            <w:tcW w:w="738"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r>
              <w:rPr>
                <w:rFonts w:hint="eastAsia" w:ascii="宋体" w:hAnsi="宋体" w:cs="仿宋"/>
                <w:color w:val="auto"/>
                <w:highlight w:val="none"/>
              </w:rPr>
              <w:t>（3）</w:t>
            </w:r>
          </w:p>
        </w:tc>
        <w:tc>
          <w:tcPr>
            <w:tcW w:w="902"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r>
              <w:rPr>
                <w:rFonts w:hint="eastAsia" w:ascii="宋体" w:hAnsi="宋体" w:cs="仿宋"/>
                <w:color w:val="auto"/>
                <w:highlight w:val="none"/>
              </w:rPr>
              <w:t>（4）</w:t>
            </w:r>
          </w:p>
        </w:tc>
        <w:tc>
          <w:tcPr>
            <w:tcW w:w="108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r>
              <w:rPr>
                <w:rFonts w:hint="eastAsia" w:ascii="宋体" w:hAnsi="宋体" w:cs="仿宋"/>
                <w:color w:val="auto"/>
                <w:highlight w:val="none"/>
              </w:rPr>
              <w:t>(5)</w:t>
            </w:r>
          </w:p>
        </w:tc>
        <w:tc>
          <w:tcPr>
            <w:tcW w:w="108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r>
              <w:rPr>
                <w:rFonts w:hint="eastAsia" w:ascii="宋体" w:hAnsi="宋体" w:cs="仿宋"/>
                <w:color w:val="auto"/>
                <w:highlight w:val="none"/>
              </w:rPr>
              <w:t>(6)</w:t>
            </w:r>
          </w:p>
        </w:tc>
        <w:tc>
          <w:tcPr>
            <w:tcW w:w="108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r>
              <w:rPr>
                <w:rFonts w:hint="eastAsia" w:ascii="宋体" w:hAnsi="宋体" w:cs="仿宋"/>
                <w:color w:val="auto"/>
                <w:highlight w:val="none"/>
              </w:rPr>
              <w:t>(7)</w:t>
            </w:r>
          </w:p>
        </w:tc>
        <w:tc>
          <w:tcPr>
            <w:tcW w:w="108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r>
              <w:rPr>
                <w:rFonts w:hint="eastAsia" w:ascii="宋体" w:hAnsi="宋体" w:cs="仿宋"/>
                <w:color w:val="auto"/>
                <w:highlight w:val="none"/>
              </w:rPr>
              <w:t>(8)</w:t>
            </w:r>
          </w:p>
        </w:tc>
        <w:tc>
          <w:tcPr>
            <w:tcW w:w="90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r>
              <w:rPr>
                <w:rFonts w:hint="eastAsia" w:ascii="宋体" w:hAnsi="宋体" w:cs="仿宋"/>
                <w:color w:val="auto"/>
                <w:highlight w:val="none"/>
              </w:rPr>
              <w:t>(9)</w:t>
            </w:r>
          </w:p>
        </w:tc>
        <w:tc>
          <w:tcPr>
            <w:tcW w:w="86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r>
              <w:rPr>
                <w:rFonts w:hint="eastAsia" w:ascii="宋体" w:hAnsi="宋体" w:cs="仿宋"/>
                <w:color w:val="auto"/>
                <w:highlight w:val="none"/>
              </w:rPr>
              <w:t>（10）</w:t>
            </w:r>
          </w:p>
        </w:tc>
        <w:tc>
          <w:tcPr>
            <w:tcW w:w="747"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r>
              <w:rPr>
                <w:rFonts w:hint="eastAsia" w:ascii="宋体" w:hAnsi="宋体" w:cs="仿宋"/>
                <w:color w:val="auto"/>
                <w:highlight w:val="none"/>
              </w:rPr>
              <w:t>(11)</w:t>
            </w:r>
          </w:p>
        </w:tc>
        <w:tc>
          <w:tcPr>
            <w:tcW w:w="1268"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r>
              <w:rPr>
                <w:rFonts w:hint="eastAsia" w:ascii="宋体" w:hAnsi="宋体" w:cs="仿宋"/>
                <w:color w:val="auto"/>
                <w:highlight w:val="none"/>
              </w:rPr>
              <w:t>(4）*(11）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387"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1</w:t>
            </w:r>
          </w:p>
        </w:tc>
        <w:tc>
          <w:tcPr>
            <w:tcW w:w="172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（清单编码）</w:t>
            </w:r>
          </w:p>
        </w:tc>
        <w:tc>
          <w:tcPr>
            <w:tcW w:w="1653"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(清单名称)</w:t>
            </w:r>
          </w:p>
        </w:tc>
        <w:tc>
          <w:tcPr>
            <w:tcW w:w="738"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902"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08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08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08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08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90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86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747"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268"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387"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72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（定额编号）</w:t>
            </w:r>
          </w:p>
        </w:tc>
        <w:tc>
          <w:tcPr>
            <w:tcW w:w="1653"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（定额名称）</w:t>
            </w:r>
          </w:p>
        </w:tc>
        <w:tc>
          <w:tcPr>
            <w:tcW w:w="738"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902"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08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08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08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08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90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86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747"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268"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387"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72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w:t>
            </w:r>
          </w:p>
        </w:tc>
        <w:tc>
          <w:tcPr>
            <w:tcW w:w="1653"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w:t>
            </w:r>
          </w:p>
        </w:tc>
        <w:tc>
          <w:tcPr>
            <w:tcW w:w="738"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902"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08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08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08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08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90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86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747"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268"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387"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2</w:t>
            </w:r>
          </w:p>
        </w:tc>
        <w:tc>
          <w:tcPr>
            <w:tcW w:w="172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（清单编码）</w:t>
            </w:r>
          </w:p>
        </w:tc>
        <w:tc>
          <w:tcPr>
            <w:tcW w:w="1653"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(清单名称)</w:t>
            </w:r>
          </w:p>
        </w:tc>
        <w:tc>
          <w:tcPr>
            <w:tcW w:w="738"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902"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08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08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08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08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90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86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747"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268"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387"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72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（定额编号）</w:t>
            </w:r>
          </w:p>
        </w:tc>
        <w:tc>
          <w:tcPr>
            <w:tcW w:w="1653"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（定额名称）</w:t>
            </w:r>
          </w:p>
        </w:tc>
        <w:tc>
          <w:tcPr>
            <w:tcW w:w="738"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902"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08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08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08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08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90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86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747"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268"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387"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72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w:t>
            </w:r>
          </w:p>
        </w:tc>
        <w:tc>
          <w:tcPr>
            <w:tcW w:w="1653"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w:t>
            </w:r>
          </w:p>
        </w:tc>
        <w:tc>
          <w:tcPr>
            <w:tcW w:w="738"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902"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08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08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08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08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90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86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747"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268"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12227" w:type="dxa"/>
            <w:gridSpan w:val="12"/>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合  计</w:t>
            </w:r>
          </w:p>
        </w:tc>
        <w:tc>
          <w:tcPr>
            <w:tcW w:w="1268"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r>
    </w:tbl>
    <w:p>
      <w:pPr>
        <w:wordWrap w:val="0"/>
        <w:adjustRightInd/>
        <w:spacing w:line="460" w:lineRule="exact"/>
        <w:ind w:firstLine="420" w:firstLineChars="200"/>
        <w:rPr>
          <w:rFonts w:cs="仿宋"/>
          <w:color w:val="auto"/>
          <w:highlight w:val="none"/>
        </w:rPr>
      </w:pPr>
      <w:r>
        <w:rPr>
          <w:rFonts w:hint="eastAsia" w:ascii="宋体" w:hAnsi="宋体" w:cs="仿宋"/>
          <w:color w:val="auto"/>
          <w:highlight w:val="none"/>
        </w:rPr>
        <w:t>注： 表（1）～（4）栏中的清单编号、清单名称、清单计量单位和数量由招标人按需要提出。</w:t>
      </w:r>
    </w:p>
    <w:p>
      <w:pPr>
        <w:wordWrap w:val="0"/>
        <w:jc w:val="center"/>
        <w:outlineLvl w:val="4"/>
        <w:rPr>
          <w:rFonts w:cs="仿宋"/>
          <w:b/>
          <w:bCs/>
          <w:color w:val="auto"/>
          <w:sz w:val="32"/>
          <w:szCs w:val="28"/>
          <w:highlight w:val="none"/>
        </w:rPr>
      </w:pPr>
      <w:r>
        <w:rPr>
          <w:rFonts w:hint="eastAsia" w:ascii="宋体" w:hAnsi="宋体" w:cs="仿宋"/>
          <w:b/>
          <w:bCs/>
          <w:color w:val="auto"/>
          <w:sz w:val="32"/>
          <w:szCs w:val="28"/>
          <w:highlight w:val="none"/>
        </w:rPr>
        <w:br w:type="page"/>
      </w:r>
      <w:r>
        <w:rPr>
          <w:rFonts w:hint="eastAsia" w:ascii="宋体" w:hAnsi="宋体" w:cs="仿宋"/>
          <w:b/>
          <w:bCs/>
          <w:color w:val="auto"/>
          <w:sz w:val="32"/>
          <w:szCs w:val="28"/>
          <w:highlight w:val="none"/>
        </w:rPr>
        <w:t>表2-2  措施项目清单分析表</w:t>
      </w:r>
    </w:p>
    <w:p>
      <w:pPr>
        <w:wordWrap w:val="0"/>
        <w:adjustRightInd/>
        <w:spacing w:line="460" w:lineRule="exact"/>
        <w:rPr>
          <w:rFonts w:cs="仿宋"/>
          <w:color w:val="auto"/>
          <w:highlight w:val="none"/>
        </w:rPr>
      </w:pPr>
      <w:r>
        <w:rPr>
          <w:rFonts w:hint="eastAsia" w:ascii="宋体" w:hAnsi="宋体" w:cs="仿宋"/>
          <w:color w:val="auto"/>
          <w:highlight w:val="none"/>
        </w:rPr>
        <w:t>工程名称：</w:t>
      </w:r>
    </w:p>
    <w:p>
      <w:pPr>
        <w:wordWrap w:val="0"/>
        <w:adjustRightInd/>
        <w:spacing w:line="460" w:lineRule="exact"/>
        <w:rPr>
          <w:rFonts w:cs="仿宋"/>
          <w:color w:val="auto"/>
          <w:highlight w:val="none"/>
        </w:rPr>
      </w:pPr>
      <w:r>
        <w:rPr>
          <w:rFonts w:hint="eastAsia" w:ascii="宋体" w:hAnsi="宋体" w:cs="仿宋"/>
          <w:color w:val="auto"/>
          <w:highlight w:val="none"/>
        </w:rPr>
        <w:t xml:space="preserve">单位工程名称：                  </w:t>
      </w:r>
    </w:p>
    <w:p>
      <w:pPr>
        <w:wordWrap w:val="0"/>
        <w:adjustRightInd/>
        <w:spacing w:line="460" w:lineRule="exact"/>
        <w:jc w:val="right"/>
        <w:rPr>
          <w:rFonts w:cs="仿宋"/>
          <w:color w:val="auto"/>
          <w:highlight w:val="none"/>
        </w:rPr>
      </w:pPr>
      <w:r>
        <w:rPr>
          <w:rFonts w:hint="eastAsia" w:ascii="宋体" w:hAnsi="宋体" w:cs="仿宋"/>
          <w:color w:val="auto"/>
          <w:highlight w:val="none"/>
        </w:rPr>
        <w:t>第   页共   页</w:t>
      </w:r>
    </w:p>
    <w:tbl>
      <w:tblPr>
        <w:tblStyle w:val="63"/>
        <w:tblW w:w="13933"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467"/>
        <w:gridCol w:w="1666"/>
        <w:gridCol w:w="1587"/>
        <w:gridCol w:w="827"/>
        <w:gridCol w:w="800"/>
        <w:gridCol w:w="1068"/>
        <w:gridCol w:w="1080"/>
        <w:gridCol w:w="1044"/>
        <w:gridCol w:w="1116"/>
        <w:gridCol w:w="871"/>
        <w:gridCol w:w="1181"/>
        <w:gridCol w:w="996"/>
        <w:gridCol w:w="123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00" w:hRule="atLeast"/>
          <w:jc w:val="center"/>
        </w:trPr>
        <w:tc>
          <w:tcPr>
            <w:tcW w:w="467" w:type="dxa"/>
            <w:vMerge w:val="restart"/>
            <w:tcBorders>
              <w:top w:val="single" w:color="auto" w:sz="8" w:space="0"/>
              <w:left w:val="single" w:color="auto" w:sz="8"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序号</w:t>
            </w:r>
          </w:p>
        </w:tc>
        <w:tc>
          <w:tcPr>
            <w:tcW w:w="1666" w:type="dxa"/>
            <w:vMerge w:val="restart"/>
            <w:tcBorders>
              <w:top w:val="single" w:color="auto" w:sz="8"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编号</w:t>
            </w:r>
          </w:p>
        </w:tc>
        <w:tc>
          <w:tcPr>
            <w:tcW w:w="1587" w:type="dxa"/>
            <w:vMerge w:val="restart"/>
            <w:tcBorders>
              <w:top w:val="single" w:color="auto" w:sz="8"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名称</w:t>
            </w:r>
          </w:p>
        </w:tc>
        <w:tc>
          <w:tcPr>
            <w:tcW w:w="827" w:type="dxa"/>
            <w:vMerge w:val="restart"/>
            <w:tcBorders>
              <w:top w:val="single" w:color="auto" w:sz="8"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计量</w:t>
            </w:r>
          </w:p>
          <w:p>
            <w:pPr>
              <w:wordWrap w:val="0"/>
              <w:adjustRightInd/>
              <w:spacing w:line="460" w:lineRule="exact"/>
              <w:jc w:val="center"/>
              <w:rPr>
                <w:rFonts w:cs="仿宋"/>
                <w:color w:val="auto"/>
                <w:highlight w:val="none"/>
              </w:rPr>
            </w:pPr>
            <w:r>
              <w:rPr>
                <w:rFonts w:hint="eastAsia" w:ascii="宋体" w:hAnsi="宋体" w:cs="仿宋"/>
                <w:color w:val="auto"/>
                <w:highlight w:val="none"/>
              </w:rPr>
              <w:t>单位</w:t>
            </w:r>
          </w:p>
        </w:tc>
        <w:tc>
          <w:tcPr>
            <w:tcW w:w="800" w:type="dxa"/>
            <w:vMerge w:val="restart"/>
            <w:tcBorders>
              <w:top w:val="single" w:color="auto" w:sz="8"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数量</w:t>
            </w:r>
          </w:p>
        </w:tc>
        <w:tc>
          <w:tcPr>
            <w:tcW w:w="7356" w:type="dxa"/>
            <w:gridSpan w:val="7"/>
            <w:tcBorders>
              <w:top w:val="single" w:color="auto" w:sz="8" w:space="0"/>
              <w:left w:val="single" w:color="auto" w:sz="6" w:space="0"/>
              <w:bottom w:val="single" w:color="auto" w:sz="6"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综 合 单 价（元）</w:t>
            </w:r>
          </w:p>
        </w:tc>
        <w:tc>
          <w:tcPr>
            <w:tcW w:w="1230" w:type="dxa"/>
            <w:vMerge w:val="restart"/>
            <w:tcBorders>
              <w:top w:val="single" w:color="auto" w:sz="8" w:space="0"/>
              <w:left w:val="single" w:color="auto" w:sz="4" w:space="0"/>
              <w:bottom w:val="single" w:color="auto" w:sz="6" w:space="0"/>
              <w:right w:val="single" w:color="auto" w:sz="8"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合计</w:t>
            </w:r>
          </w:p>
          <w:p>
            <w:pPr>
              <w:wordWrap w:val="0"/>
              <w:adjustRightInd/>
              <w:spacing w:line="460" w:lineRule="exact"/>
              <w:jc w:val="center"/>
              <w:rPr>
                <w:rFonts w:cs="仿宋"/>
                <w:color w:val="auto"/>
                <w:highlight w:val="none"/>
              </w:rPr>
            </w:pPr>
            <w:r>
              <w:rPr>
                <w:rFonts w:hint="eastAsia" w:ascii="宋体" w:hAnsi="宋体" w:cs="仿宋"/>
                <w:color w:val="auto"/>
                <w:highlight w:val="none"/>
              </w:rPr>
              <w:t>（元）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90" w:hRule="atLeast"/>
          <w:jc w:val="center"/>
        </w:trPr>
        <w:tc>
          <w:tcPr>
            <w:tcW w:w="467" w:type="dxa"/>
            <w:vMerge w:val="continue"/>
            <w:tcBorders>
              <w:top w:val="single" w:color="auto" w:sz="8" w:space="0"/>
              <w:left w:val="single" w:color="auto" w:sz="8"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666" w:type="dxa"/>
            <w:vMerge w:val="continue"/>
            <w:tcBorders>
              <w:top w:val="single" w:color="auto" w:sz="8"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587" w:type="dxa"/>
            <w:vMerge w:val="continue"/>
            <w:tcBorders>
              <w:top w:val="single" w:color="auto" w:sz="8"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827" w:type="dxa"/>
            <w:vMerge w:val="continue"/>
            <w:tcBorders>
              <w:top w:val="single" w:color="auto" w:sz="8"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800" w:type="dxa"/>
            <w:vMerge w:val="continue"/>
            <w:tcBorders>
              <w:top w:val="single" w:color="auto" w:sz="8"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068"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人工费</w:t>
            </w:r>
          </w:p>
        </w:tc>
        <w:tc>
          <w:tcPr>
            <w:tcW w:w="1080"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材料费</w:t>
            </w:r>
          </w:p>
        </w:tc>
        <w:tc>
          <w:tcPr>
            <w:tcW w:w="1044"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机械费</w:t>
            </w:r>
          </w:p>
        </w:tc>
        <w:tc>
          <w:tcPr>
            <w:tcW w:w="1116"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管理费</w:t>
            </w:r>
          </w:p>
        </w:tc>
        <w:tc>
          <w:tcPr>
            <w:tcW w:w="871"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利润</w:t>
            </w:r>
          </w:p>
        </w:tc>
        <w:tc>
          <w:tcPr>
            <w:tcW w:w="1181"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风险费用</w:t>
            </w:r>
          </w:p>
        </w:tc>
        <w:tc>
          <w:tcPr>
            <w:tcW w:w="996" w:type="dxa"/>
            <w:tcBorders>
              <w:top w:val="single" w:color="auto" w:sz="6" w:space="0"/>
              <w:left w:val="single" w:color="auto" w:sz="6" w:space="0"/>
              <w:bottom w:val="single" w:color="auto" w:sz="6"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小计</w:t>
            </w:r>
          </w:p>
        </w:tc>
        <w:tc>
          <w:tcPr>
            <w:tcW w:w="1230" w:type="dxa"/>
            <w:vMerge w:val="continue"/>
            <w:tcBorders>
              <w:top w:val="single" w:color="auto" w:sz="8" w:space="0"/>
              <w:left w:val="single" w:color="auto" w:sz="4" w:space="0"/>
              <w:bottom w:val="single" w:color="auto" w:sz="6" w:space="0"/>
              <w:right w:val="single" w:color="auto" w:sz="8" w:space="0"/>
            </w:tcBorders>
            <w:noWrap/>
            <w:vAlign w:val="center"/>
          </w:tcPr>
          <w:p>
            <w:pPr>
              <w:wordWrap w:val="0"/>
              <w:adjustRightInd/>
              <w:spacing w:line="460" w:lineRule="exact"/>
              <w:jc w:val="center"/>
              <w:rPr>
                <w:rFonts w:cs="仿宋"/>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73" w:hRule="atLeast"/>
          <w:jc w:val="center"/>
        </w:trPr>
        <w:tc>
          <w:tcPr>
            <w:tcW w:w="467" w:type="dxa"/>
            <w:tcBorders>
              <w:top w:val="single" w:color="auto" w:sz="6" w:space="0"/>
              <w:left w:val="single" w:color="auto" w:sz="8"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666"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（1）</w:t>
            </w:r>
          </w:p>
        </w:tc>
        <w:tc>
          <w:tcPr>
            <w:tcW w:w="1587"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（2）</w:t>
            </w:r>
          </w:p>
        </w:tc>
        <w:tc>
          <w:tcPr>
            <w:tcW w:w="827"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（3）</w:t>
            </w:r>
          </w:p>
        </w:tc>
        <w:tc>
          <w:tcPr>
            <w:tcW w:w="800"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（4）</w:t>
            </w:r>
          </w:p>
        </w:tc>
        <w:tc>
          <w:tcPr>
            <w:tcW w:w="1068"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(5)</w:t>
            </w:r>
          </w:p>
        </w:tc>
        <w:tc>
          <w:tcPr>
            <w:tcW w:w="1080"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(6)</w:t>
            </w:r>
          </w:p>
        </w:tc>
        <w:tc>
          <w:tcPr>
            <w:tcW w:w="1044"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(7)</w:t>
            </w:r>
          </w:p>
        </w:tc>
        <w:tc>
          <w:tcPr>
            <w:tcW w:w="1116"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(8)</w:t>
            </w:r>
          </w:p>
        </w:tc>
        <w:tc>
          <w:tcPr>
            <w:tcW w:w="871"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(9)</w:t>
            </w:r>
          </w:p>
        </w:tc>
        <w:tc>
          <w:tcPr>
            <w:tcW w:w="1181"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（10）</w:t>
            </w:r>
          </w:p>
        </w:tc>
        <w:tc>
          <w:tcPr>
            <w:tcW w:w="996" w:type="dxa"/>
            <w:tcBorders>
              <w:top w:val="single" w:color="auto" w:sz="6" w:space="0"/>
              <w:left w:val="single" w:color="auto" w:sz="6" w:space="0"/>
              <w:bottom w:val="single" w:color="auto" w:sz="6"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(11)</w:t>
            </w:r>
          </w:p>
        </w:tc>
        <w:tc>
          <w:tcPr>
            <w:tcW w:w="1230" w:type="dxa"/>
            <w:tcBorders>
              <w:top w:val="single" w:color="auto" w:sz="6" w:space="0"/>
              <w:left w:val="single" w:color="auto" w:sz="4" w:space="0"/>
              <w:bottom w:val="single" w:color="auto" w:sz="6" w:space="0"/>
              <w:right w:val="single" w:color="auto" w:sz="8"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(4）*(11）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73" w:hRule="atLeast"/>
          <w:jc w:val="center"/>
        </w:trPr>
        <w:tc>
          <w:tcPr>
            <w:tcW w:w="467" w:type="dxa"/>
            <w:tcBorders>
              <w:top w:val="single" w:color="auto" w:sz="6" w:space="0"/>
              <w:left w:val="single" w:color="auto" w:sz="8"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1</w:t>
            </w:r>
          </w:p>
        </w:tc>
        <w:tc>
          <w:tcPr>
            <w:tcW w:w="1666"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 xml:space="preserve"> （清单编码）</w:t>
            </w:r>
          </w:p>
        </w:tc>
        <w:tc>
          <w:tcPr>
            <w:tcW w:w="1587"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（清单名称）</w:t>
            </w:r>
          </w:p>
        </w:tc>
        <w:tc>
          <w:tcPr>
            <w:tcW w:w="827"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800"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068"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080"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044"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116"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871"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181"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996" w:type="dxa"/>
            <w:tcBorders>
              <w:top w:val="single" w:color="auto" w:sz="6" w:space="0"/>
              <w:left w:val="single" w:color="auto" w:sz="6" w:space="0"/>
              <w:bottom w:val="single" w:color="auto" w:sz="6" w:space="0"/>
              <w:right w:val="single" w:color="auto" w:sz="4" w:space="0"/>
            </w:tcBorders>
            <w:noWrap/>
            <w:vAlign w:val="center"/>
          </w:tcPr>
          <w:p>
            <w:pPr>
              <w:wordWrap w:val="0"/>
              <w:adjustRightInd/>
              <w:spacing w:line="460" w:lineRule="exact"/>
              <w:jc w:val="center"/>
              <w:rPr>
                <w:rFonts w:cs="仿宋"/>
                <w:color w:val="auto"/>
                <w:highlight w:val="none"/>
              </w:rPr>
            </w:pPr>
          </w:p>
        </w:tc>
        <w:tc>
          <w:tcPr>
            <w:tcW w:w="1230" w:type="dxa"/>
            <w:tcBorders>
              <w:top w:val="single" w:color="auto" w:sz="6" w:space="0"/>
              <w:left w:val="single" w:color="auto" w:sz="4" w:space="0"/>
              <w:bottom w:val="single" w:color="auto" w:sz="6" w:space="0"/>
              <w:right w:val="single" w:color="auto" w:sz="8" w:space="0"/>
            </w:tcBorders>
            <w:noWrap/>
            <w:vAlign w:val="center"/>
          </w:tcPr>
          <w:p>
            <w:pPr>
              <w:wordWrap w:val="0"/>
              <w:adjustRightInd/>
              <w:spacing w:line="460" w:lineRule="exact"/>
              <w:jc w:val="center"/>
              <w:rPr>
                <w:rFonts w:cs="仿宋"/>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73" w:hRule="atLeast"/>
          <w:jc w:val="center"/>
        </w:trPr>
        <w:tc>
          <w:tcPr>
            <w:tcW w:w="467" w:type="dxa"/>
            <w:tcBorders>
              <w:top w:val="single" w:color="auto" w:sz="6" w:space="0"/>
              <w:left w:val="single" w:color="auto" w:sz="8"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666"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 xml:space="preserve"> （定额编号）</w:t>
            </w:r>
          </w:p>
        </w:tc>
        <w:tc>
          <w:tcPr>
            <w:tcW w:w="1587"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（定额名称）</w:t>
            </w:r>
          </w:p>
        </w:tc>
        <w:tc>
          <w:tcPr>
            <w:tcW w:w="827"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800"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068"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080"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044"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116"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871"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181"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996"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230" w:type="dxa"/>
            <w:tcBorders>
              <w:top w:val="single" w:color="auto" w:sz="6" w:space="0"/>
              <w:left w:val="single" w:color="auto" w:sz="6" w:space="0"/>
              <w:bottom w:val="single" w:color="auto" w:sz="6" w:space="0"/>
              <w:right w:val="single" w:color="auto" w:sz="8" w:space="0"/>
            </w:tcBorders>
            <w:noWrap/>
            <w:vAlign w:val="center"/>
          </w:tcPr>
          <w:p>
            <w:pPr>
              <w:wordWrap w:val="0"/>
              <w:adjustRightInd/>
              <w:spacing w:line="460" w:lineRule="exact"/>
              <w:jc w:val="center"/>
              <w:rPr>
                <w:rFonts w:cs="仿宋"/>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73" w:hRule="atLeast"/>
          <w:jc w:val="center"/>
        </w:trPr>
        <w:tc>
          <w:tcPr>
            <w:tcW w:w="467" w:type="dxa"/>
            <w:tcBorders>
              <w:top w:val="single" w:color="auto" w:sz="6" w:space="0"/>
              <w:left w:val="single" w:color="auto" w:sz="8"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666"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w:t>
            </w:r>
          </w:p>
        </w:tc>
        <w:tc>
          <w:tcPr>
            <w:tcW w:w="1587"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w:t>
            </w:r>
          </w:p>
        </w:tc>
        <w:tc>
          <w:tcPr>
            <w:tcW w:w="827"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800"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068"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080"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044"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116"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871"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181"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996"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230" w:type="dxa"/>
            <w:tcBorders>
              <w:top w:val="single" w:color="auto" w:sz="6" w:space="0"/>
              <w:left w:val="single" w:color="auto" w:sz="6" w:space="0"/>
              <w:bottom w:val="single" w:color="auto" w:sz="6" w:space="0"/>
              <w:right w:val="single" w:color="auto" w:sz="8" w:space="0"/>
            </w:tcBorders>
            <w:noWrap/>
            <w:vAlign w:val="center"/>
          </w:tcPr>
          <w:p>
            <w:pPr>
              <w:wordWrap w:val="0"/>
              <w:adjustRightInd/>
              <w:spacing w:line="460" w:lineRule="exact"/>
              <w:jc w:val="center"/>
              <w:rPr>
                <w:rFonts w:cs="仿宋"/>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73" w:hRule="atLeast"/>
          <w:jc w:val="center"/>
        </w:trPr>
        <w:tc>
          <w:tcPr>
            <w:tcW w:w="467" w:type="dxa"/>
            <w:tcBorders>
              <w:top w:val="single" w:color="auto" w:sz="6" w:space="0"/>
              <w:left w:val="single" w:color="auto" w:sz="8"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2</w:t>
            </w:r>
          </w:p>
        </w:tc>
        <w:tc>
          <w:tcPr>
            <w:tcW w:w="1666"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（清单编码）</w:t>
            </w:r>
          </w:p>
        </w:tc>
        <w:tc>
          <w:tcPr>
            <w:tcW w:w="1587"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（清单名称）</w:t>
            </w:r>
          </w:p>
        </w:tc>
        <w:tc>
          <w:tcPr>
            <w:tcW w:w="827"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800"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068"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080"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044"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116"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871"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181"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996"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230" w:type="dxa"/>
            <w:tcBorders>
              <w:top w:val="single" w:color="auto" w:sz="6" w:space="0"/>
              <w:left w:val="single" w:color="auto" w:sz="6" w:space="0"/>
              <w:bottom w:val="single" w:color="auto" w:sz="6" w:space="0"/>
              <w:right w:val="single" w:color="auto" w:sz="8" w:space="0"/>
            </w:tcBorders>
            <w:noWrap/>
            <w:vAlign w:val="center"/>
          </w:tcPr>
          <w:p>
            <w:pPr>
              <w:wordWrap w:val="0"/>
              <w:adjustRightInd/>
              <w:spacing w:line="460" w:lineRule="exact"/>
              <w:jc w:val="center"/>
              <w:rPr>
                <w:rFonts w:cs="仿宋"/>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73" w:hRule="atLeast"/>
          <w:jc w:val="center"/>
        </w:trPr>
        <w:tc>
          <w:tcPr>
            <w:tcW w:w="467" w:type="dxa"/>
            <w:tcBorders>
              <w:top w:val="single" w:color="auto" w:sz="6" w:space="0"/>
              <w:left w:val="single" w:color="auto" w:sz="8"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666"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（定额编号）</w:t>
            </w:r>
          </w:p>
        </w:tc>
        <w:tc>
          <w:tcPr>
            <w:tcW w:w="1587"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（定额名称）</w:t>
            </w:r>
          </w:p>
        </w:tc>
        <w:tc>
          <w:tcPr>
            <w:tcW w:w="827"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800"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068"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080"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044"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116"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871"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181"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996"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230" w:type="dxa"/>
            <w:tcBorders>
              <w:top w:val="single" w:color="auto" w:sz="6" w:space="0"/>
              <w:left w:val="single" w:color="auto" w:sz="6" w:space="0"/>
              <w:bottom w:val="single" w:color="auto" w:sz="6" w:space="0"/>
              <w:right w:val="single" w:color="auto" w:sz="8" w:space="0"/>
            </w:tcBorders>
            <w:noWrap/>
            <w:vAlign w:val="center"/>
          </w:tcPr>
          <w:p>
            <w:pPr>
              <w:wordWrap w:val="0"/>
              <w:adjustRightInd/>
              <w:spacing w:line="460" w:lineRule="exact"/>
              <w:jc w:val="center"/>
              <w:rPr>
                <w:rFonts w:cs="仿宋"/>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73" w:hRule="atLeast"/>
          <w:jc w:val="center"/>
        </w:trPr>
        <w:tc>
          <w:tcPr>
            <w:tcW w:w="467" w:type="dxa"/>
            <w:tcBorders>
              <w:top w:val="single" w:color="auto" w:sz="6" w:space="0"/>
              <w:left w:val="single" w:color="auto" w:sz="8"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666"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w:t>
            </w:r>
          </w:p>
        </w:tc>
        <w:tc>
          <w:tcPr>
            <w:tcW w:w="1587"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w:t>
            </w:r>
          </w:p>
        </w:tc>
        <w:tc>
          <w:tcPr>
            <w:tcW w:w="827"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800"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068"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080"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044"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116"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871"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181"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996" w:type="dxa"/>
            <w:tcBorders>
              <w:top w:val="single" w:color="auto" w:sz="6" w:space="0"/>
              <w:left w:val="single" w:color="auto" w:sz="6" w:space="0"/>
              <w:bottom w:val="single" w:color="auto" w:sz="6" w:space="0"/>
              <w:right w:val="single" w:color="auto" w:sz="6" w:space="0"/>
            </w:tcBorders>
            <w:noWrap/>
            <w:vAlign w:val="center"/>
          </w:tcPr>
          <w:p>
            <w:pPr>
              <w:wordWrap w:val="0"/>
              <w:adjustRightInd/>
              <w:spacing w:line="460" w:lineRule="exact"/>
              <w:jc w:val="center"/>
              <w:rPr>
                <w:rFonts w:cs="仿宋"/>
                <w:color w:val="auto"/>
                <w:highlight w:val="none"/>
              </w:rPr>
            </w:pPr>
          </w:p>
        </w:tc>
        <w:tc>
          <w:tcPr>
            <w:tcW w:w="1230" w:type="dxa"/>
            <w:tcBorders>
              <w:top w:val="single" w:color="auto" w:sz="6" w:space="0"/>
              <w:left w:val="single" w:color="auto" w:sz="6" w:space="0"/>
              <w:bottom w:val="single" w:color="auto" w:sz="6" w:space="0"/>
              <w:right w:val="single" w:color="auto" w:sz="8" w:space="0"/>
            </w:tcBorders>
            <w:noWrap/>
            <w:vAlign w:val="center"/>
          </w:tcPr>
          <w:p>
            <w:pPr>
              <w:wordWrap w:val="0"/>
              <w:adjustRightInd/>
              <w:spacing w:line="460" w:lineRule="exact"/>
              <w:jc w:val="center"/>
              <w:rPr>
                <w:rFonts w:cs="仿宋"/>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21" w:hRule="atLeast"/>
          <w:jc w:val="center"/>
        </w:trPr>
        <w:tc>
          <w:tcPr>
            <w:tcW w:w="12703" w:type="dxa"/>
            <w:gridSpan w:val="12"/>
            <w:tcBorders>
              <w:top w:val="single" w:color="auto" w:sz="6" w:space="0"/>
              <w:left w:val="single" w:color="auto" w:sz="8" w:space="0"/>
              <w:bottom w:val="single" w:color="auto" w:sz="8" w:space="0"/>
              <w:right w:val="single" w:color="auto" w:sz="6"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合  计：</w:t>
            </w:r>
          </w:p>
        </w:tc>
        <w:tc>
          <w:tcPr>
            <w:tcW w:w="1230" w:type="dxa"/>
            <w:tcBorders>
              <w:top w:val="single" w:color="auto" w:sz="6" w:space="0"/>
              <w:left w:val="single" w:color="auto" w:sz="6" w:space="0"/>
              <w:bottom w:val="single" w:color="auto" w:sz="8" w:space="0"/>
              <w:right w:val="single" w:color="auto" w:sz="8" w:space="0"/>
            </w:tcBorders>
            <w:noWrap/>
            <w:vAlign w:val="center"/>
          </w:tcPr>
          <w:p>
            <w:pPr>
              <w:wordWrap w:val="0"/>
              <w:adjustRightInd/>
              <w:spacing w:line="460" w:lineRule="exact"/>
              <w:jc w:val="center"/>
              <w:rPr>
                <w:rFonts w:cs="仿宋"/>
                <w:color w:val="auto"/>
                <w:highlight w:val="none"/>
              </w:rPr>
            </w:pPr>
          </w:p>
        </w:tc>
      </w:tr>
    </w:tbl>
    <w:p>
      <w:pPr>
        <w:wordWrap w:val="0"/>
        <w:adjustRightInd/>
        <w:spacing w:line="460" w:lineRule="exact"/>
        <w:ind w:firstLine="420" w:firstLineChars="200"/>
        <w:rPr>
          <w:rFonts w:cs="仿宋"/>
          <w:color w:val="auto"/>
          <w:highlight w:val="none"/>
        </w:rPr>
      </w:pPr>
      <w:r>
        <w:rPr>
          <w:rFonts w:hint="eastAsia" w:ascii="宋体" w:hAnsi="宋体" w:cs="仿宋"/>
          <w:color w:val="auto"/>
          <w:highlight w:val="none"/>
        </w:rPr>
        <w:t>注：  表（1）、（2）栏中清单编号和措施项目清单名称由招标人按需要提出。</w:t>
      </w:r>
    </w:p>
    <w:p>
      <w:pPr>
        <w:pStyle w:val="862"/>
        <w:ind w:firstLine="480"/>
        <w:rPr>
          <w:color w:val="auto"/>
          <w:highlight w:val="none"/>
        </w:rPr>
      </w:pPr>
    </w:p>
    <w:p>
      <w:pPr>
        <w:ind w:firstLine="480"/>
        <w:rPr>
          <w:color w:val="auto"/>
          <w:highlight w:val="none"/>
        </w:rPr>
        <w:sectPr>
          <w:pgSz w:w="15840" w:h="12240" w:orient="landscape"/>
          <w:pgMar w:top="1531" w:right="1304" w:bottom="964" w:left="964" w:header="720" w:footer="720" w:gutter="0"/>
          <w:cols w:space="720" w:num="1"/>
          <w:titlePg/>
          <w:docGrid w:linePitch="312" w:charSpace="0"/>
        </w:sectPr>
      </w:pPr>
    </w:p>
    <w:p>
      <w:pPr>
        <w:wordWrap w:val="0"/>
        <w:jc w:val="center"/>
        <w:outlineLvl w:val="4"/>
        <w:rPr>
          <w:rFonts w:ascii="宋体" w:hAnsi="宋体" w:cs="仿宋"/>
          <w:b/>
          <w:bCs/>
          <w:color w:val="auto"/>
          <w:sz w:val="32"/>
          <w:szCs w:val="28"/>
          <w:highlight w:val="none"/>
        </w:rPr>
      </w:pPr>
      <w:r>
        <w:rPr>
          <w:rFonts w:hint="eastAsia" w:ascii="宋体" w:hAnsi="宋体" w:cs="仿宋"/>
          <w:b/>
          <w:bCs/>
          <w:color w:val="auto"/>
          <w:sz w:val="32"/>
          <w:szCs w:val="28"/>
          <w:highlight w:val="none"/>
        </w:rPr>
        <w:t>表2-3  综合单价工料机分析表</w:t>
      </w:r>
    </w:p>
    <w:p>
      <w:pPr>
        <w:wordWrap w:val="0"/>
        <w:adjustRightInd/>
        <w:spacing w:line="460" w:lineRule="exact"/>
        <w:rPr>
          <w:rFonts w:cs="仿宋"/>
          <w:color w:val="auto"/>
          <w:highlight w:val="none"/>
        </w:rPr>
      </w:pPr>
      <w:r>
        <w:rPr>
          <w:rFonts w:hint="eastAsia" w:ascii="宋体" w:hAnsi="宋体" w:cs="仿宋"/>
          <w:color w:val="auto"/>
          <w:highlight w:val="none"/>
        </w:rPr>
        <w:t>项目编码：                                                   计量单位：</w:t>
      </w:r>
    </w:p>
    <w:p>
      <w:pPr>
        <w:wordWrap w:val="0"/>
        <w:adjustRightInd/>
        <w:spacing w:line="460" w:lineRule="exact"/>
        <w:rPr>
          <w:rFonts w:cs="仿宋"/>
          <w:color w:val="auto"/>
          <w:highlight w:val="none"/>
        </w:rPr>
      </w:pPr>
      <w:r>
        <w:rPr>
          <w:rFonts w:hint="eastAsia" w:ascii="宋体" w:hAnsi="宋体" w:cs="仿宋"/>
          <w:color w:val="auto"/>
          <w:highlight w:val="none"/>
        </w:rPr>
        <w:t>项目名称：                                                第   页共  页</w:t>
      </w:r>
    </w:p>
    <w:tbl>
      <w:tblPr>
        <w:tblStyle w:val="63"/>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900"/>
        <w:gridCol w:w="1260"/>
        <w:gridCol w:w="1260"/>
        <w:gridCol w:w="1440"/>
        <w:gridCol w:w="144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828" w:type="dxa"/>
            <w:vMerge w:val="restart"/>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序号</w:t>
            </w:r>
          </w:p>
        </w:tc>
        <w:tc>
          <w:tcPr>
            <w:tcW w:w="2160" w:type="dxa"/>
            <w:gridSpan w:val="2"/>
            <w:vMerge w:val="restart"/>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名称及规格</w:t>
            </w:r>
          </w:p>
        </w:tc>
        <w:tc>
          <w:tcPr>
            <w:tcW w:w="1260" w:type="dxa"/>
            <w:vMerge w:val="restart"/>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单位</w:t>
            </w:r>
          </w:p>
        </w:tc>
        <w:tc>
          <w:tcPr>
            <w:tcW w:w="1440" w:type="dxa"/>
            <w:vMerge w:val="restart"/>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数量</w:t>
            </w:r>
          </w:p>
        </w:tc>
        <w:tc>
          <w:tcPr>
            <w:tcW w:w="3060" w:type="dxa"/>
            <w:gridSpan w:val="2"/>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828" w:type="dxa"/>
            <w:vMerge w:val="continue"/>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160" w:type="dxa"/>
            <w:gridSpan w:val="2"/>
            <w:vMerge w:val="continue"/>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260" w:type="dxa"/>
            <w:vMerge w:val="continue"/>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440" w:type="dxa"/>
            <w:vMerge w:val="continue"/>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44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单价</w:t>
            </w:r>
          </w:p>
        </w:tc>
        <w:tc>
          <w:tcPr>
            <w:tcW w:w="162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28" w:type="dxa"/>
            <w:vMerge w:val="restart"/>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900" w:type="dxa"/>
            <w:vMerge w:val="restart"/>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人工</w:t>
            </w:r>
          </w:p>
        </w:tc>
        <w:tc>
          <w:tcPr>
            <w:tcW w:w="126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一类</w:t>
            </w:r>
          </w:p>
        </w:tc>
        <w:tc>
          <w:tcPr>
            <w:tcW w:w="126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工日</w:t>
            </w:r>
          </w:p>
        </w:tc>
        <w:tc>
          <w:tcPr>
            <w:tcW w:w="144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44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62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28" w:type="dxa"/>
            <w:vMerge w:val="continue"/>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900" w:type="dxa"/>
            <w:vMerge w:val="continue"/>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26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二类</w:t>
            </w:r>
          </w:p>
        </w:tc>
        <w:tc>
          <w:tcPr>
            <w:tcW w:w="126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工日</w:t>
            </w:r>
          </w:p>
        </w:tc>
        <w:tc>
          <w:tcPr>
            <w:tcW w:w="144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44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62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28" w:type="dxa"/>
            <w:vMerge w:val="continue"/>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900" w:type="dxa"/>
            <w:vMerge w:val="continue"/>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26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三类</w:t>
            </w:r>
          </w:p>
        </w:tc>
        <w:tc>
          <w:tcPr>
            <w:tcW w:w="126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工日</w:t>
            </w:r>
          </w:p>
        </w:tc>
        <w:tc>
          <w:tcPr>
            <w:tcW w:w="144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44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62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28"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1</w:t>
            </w:r>
          </w:p>
        </w:tc>
        <w:tc>
          <w:tcPr>
            <w:tcW w:w="6300" w:type="dxa"/>
            <w:gridSpan w:val="5"/>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人工费小计</w:t>
            </w:r>
          </w:p>
        </w:tc>
        <w:tc>
          <w:tcPr>
            <w:tcW w:w="162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28" w:type="dxa"/>
            <w:vMerge w:val="restart"/>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900" w:type="dxa"/>
            <w:vMerge w:val="restart"/>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主要</w:t>
            </w:r>
          </w:p>
          <w:p>
            <w:pPr>
              <w:wordWrap w:val="0"/>
              <w:adjustRightInd/>
              <w:spacing w:line="460" w:lineRule="exact"/>
              <w:jc w:val="center"/>
              <w:rPr>
                <w:rFonts w:cs="仿宋"/>
                <w:color w:val="auto"/>
                <w:highlight w:val="none"/>
              </w:rPr>
            </w:pPr>
            <w:r>
              <w:rPr>
                <w:rFonts w:hint="eastAsia" w:ascii="宋体" w:hAnsi="宋体" w:cs="仿宋"/>
                <w:color w:val="auto"/>
                <w:highlight w:val="none"/>
              </w:rPr>
              <w:t>材料</w:t>
            </w:r>
          </w:p>
        </w:tc>
        <w:tc>
          <w:tcPr>
            <w:tcW w:w="126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26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44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44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62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28" w:type="dxa"/>
            <w:vMerge w:val="continue"/>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900" w:type="dxa"/>
            <w:vMerge w:val="continue"/>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26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26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44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44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62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28" w:type="dxa"/>
            <w:vMerge w:val="continue"/>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900" w:type="dxa"/>
            <w:vMerge w:val="continue"/>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26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26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44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44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162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28" w:type="dxa"/>
            <w:vMerge w:val="continue"/>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c>
          <w:tcPr>
            <w:tcW w:w="6300" w:type="dxa"/>
            <w:gridSpan w:val="5"/>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其他材料费</w:t>
            </w:r>
          </w:p>
        </w:tc>
        <w:tc>
          <w:tcPr>
            <w:tcW w:w="162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28"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2</w:t>
            </w:r>
          </w:p>
        </w:tc>
        <w:tc>
          <w:tcPr>
            <w:tcW w:w="6300" w:type="dxa"/>
            <w:gridSpan w:val="5"/>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材料费小计</w:t>
            </w:r>
          </w:p>
        </w:tc>
        <w:tc>
          <w:tcPr>
            <w:tcW w:w="162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28" w:type="dxa"/>
            <w:vMerge w:val="restart"/>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900" w:type="dxa"/>
            <w:vMerge w:val="restart"/>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主要</w:t>
            </w:r>
          </w:p>
          <w:p>
            <w:pPr>
              <w:wordWrap w:val="0"/>
              <w:adjustRightInd/>
              <w:spacing w:line="460" w:lineRule="exact"/>
              <w:jc w:val="center"/>
              <w:rPr>
                <w:rFonts w:cs="仿宋"/>
                <w:color w:val="auto"/>
                <w:highlight w:val="none"/>
              </w:rPr>
            </w:pPr>
            <w:r>
              <w:rPr>
                <w:rFonts w:hint="eastAsia" w:ascii="宋体" w:hAnsi="宋体" w:cs="仿宋"/>
                <w:color w:val="auto"/>
                <w:highlight w:val="none"/>
              </w:rPr>
              <w:t>机械</w:t>
            </w:r>
          </w:p>
        </w:tc>
        <w:tc>
          <w:tcPr>
            <w:tcW w:w="126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26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44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44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62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28" w:type="dxa"/>
            <w:vMerge w:val="continue"/>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900" w:type="dxa"/>
            <w:vMerge w:val="continue"/>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26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26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44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44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62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28" w:type="dxa"/>
            <w:vMerge w:val="continue"/>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900" w:type="dxa"/>
            <w:vMerge w:val="continue"/>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26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26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44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44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62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28" w:type="dxa"/>
            <w:vMerge w:val="continue"/>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6300" w:type="dxa"/>
            <w:gridSpan w:val="5"/>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其他机械费</w:t>
            </w:r>
          </w:p>
        </w:tc>
        <w:tc>
          <w:tcPr>
            <w:tcW w:w="162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28"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3</w:t>
            </w:r>
          </w:p>
        </w:tc>
        <w:tc>
          <w:tcPr>
            <w:tcW w:w="6300" w:type="dxa"/>
            <w:gridSpan w:val="5"/>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rPr>
                <w:rFonts w:cs="仿宋"/>
                <w:color w:val="auto"/>
                <w:highlight w:val="none"/>
              </w:rPr>
            </w:pPr>
            <w:r>
              <w:rPr>
                <w:rFonts w:hint="eastAsia" w:ascii="宋体" w:hAnsi="宋体" w:cs="仿宋"/>
                <w:color w:val="auto"/>
                <w:highlight w:val="none"/>
              </w:rPr>
              <w:t>机械费小计</w:t>
            </w:r>
          </w:p>
        </w:tc>
        <w:tc>
          <w:tcPr>
            <w:tcW w:w="162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28"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4</w:t>
            </w:r>
          </w:p>
        </w:tc>
        <w:tc>
          <w:tcPr>
            <w:tcW w:w="6300" w:type="dxa"/>
            <w:gridSpan w:val="5"/>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rPr>
                <w:rFonts w:cs="仿宋"/>
                <w:color w:val="auto"/>
                <w:highlight w:val="none"/>
              </w:rPr>
            </w:pPr>
            <w:r>
              <w:rPr>
                <w:rFonts w:hint="eastAsia" w:ascii="宋体" w:hAnsi="宋体" w:cs="仿宋"/>
                <w:color w:val="auto"/>
                <w:highlight w:val="none"/>
              </w:rPr>
              <w:t>直接工程费(1+2+3)</w:t>
            </w:r>
          </w:p>
        </w:tc>
        <w:tc>
          <w:tcPr>
            <w:tcW w:w="162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28"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5</w:t>
            </w:r>
          </w:p>
        </w:tc>
        <w:tc>
          <w:tcPr>
            <w:tcW w:w="6300" w:type="dxa"/>
            <w:gridSpan w:val="5"/>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rPr>
                <w:rFonts w:cs="仿宋"/>
                <w:color w:val="auto"/>
                <w:highlight w:val="none"/>
              </w:rPr>
            </w:pPr>
            <w:r>
              <w:rPr>
                <w:rFonts w:hint="eastAsia" w:ascii="宋体" w:hAnsi="宋体" w:cs="仿宋"/>
                <w:color w:val="auto"/>
                <w:highlight w:val="none"/>
              </w:rPr>
              <w:t>管理费</w:t>
            </w:r>
          </w:p>
        </w:tc>
        <w:tc>
          <w:tcPr>
            <w:tcW w:w="162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28"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6</w:t>
            </w:r>
          </w:p>
        </w:tc>
        <w:tc>
          <w:tcPr>
            <w:tcW w:w="6300" w:type="dxa"/>
            <w:gridSpan w:val="5"/>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rPr>
                <w:rFonts w:cs="仿宋"/>
                <w:color w:val="auto"/>
                <w:highlight w:val="none"/>
              </w:rPr>
            </w:pPr>
            <w:r>
              <w:rPr>
                <w:rFonts w:hint="eastAsia" w:ascii="宋体" w:hAnsi="宋体" w:cs="仿宋"/>
                <w:color w:val="auto"/>
                <w:highlight w:val="none"/>
              </w:rPr>
              <w:t>利润</w:t>
            </w:r>
          </w:p>
        </w:tc>
        <w:tc>
          <w:tcPr>
            <w:tcW w:w="162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28"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7</w:t>
            </w:r>
          </w:p>
        </w:tc>
        <w:tc>
          <w:tcPr>
            <w:tcW w:w="6300" w:type="dxa"/>
            <w:gridSpan w:val="5"/>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rPr>
                <w:rFonts w:cs="仿宋"/>
                <w:color w:val="auto"/>
                <w:highlight w:val="none"/>
              </w:rPr>
            </w:pPr>
            <w:r>
              <w:rPr>
                <w:rFonts w:hint="eastAsia" w:ascii="宋体" w:hAnsi="宋体" w:cs="仿宋"/>
                <w:color w:val="auto"/>
                <w:highlight w:val="none"/>
              </w:rPr>
              <w:t>风险费用</w:t>
            </w:r>
          </w:p>
        </w:tc>
        <w:tc>
          <w:tcPr>
            <w:tcW w:w="162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28"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8</w:t>
            </w:r>
          </w:p>
        </w:tc>
        <w:tc>
          <w:tcPr>
            <w:tcW w:w="6300" w:type="dxa"/>
            <w:gridSpan w:val="5"/>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rPr>
                <w:rFonts w:cs="仿宋"/>
                <w:color w:val="auto"/>
                <w:highlight w:val="none"/>
              </w:rPr>
            </w:pPr>
            <w:r>
              <w:rPr>
                <w:rFonts w:hint="eastAsia" w:ascii="宋体" w:hAnsi="宋体" w:cs="仿宋"/>
                <w:color w:val="auto"/>
                <w:highlight w:val="none"/>
              </w:rPr>
              <w:t>综合单价（4+5+6+7）</w:t>
            </w:r>
          </w:p>
        </w:tc>
        <w:tc>
          <w:tcPr>
            <w:tcW w:w="1620" w:type="dxa"/>
            <w:tcBorders>
              <w:top w:val="single" w:color="auto" w:sz="4" w:space="0"/>
              <w:left w:val="single" w:color="auto" w:sz="4" w:space="0"/>
              <w:bottom w:val="single" w:color="auto" w:sz="4" w:space="0"/>
              <w:right w:val="single" w:color="auto" w:sz="4" w:space="0"/>
            </w:tcBorders>
            <w:noWrap/>
          </w:tcPr>
          <w:p>
            <w:pPr>
              <w:wordWrap w:val="0"/>
              <w:adjustRightInd/>
              <w:spacing w:line="460" w:lineRule="exact"/>
              <w:jc w:val="center"/>
              <w:rPr>
                <w:rFonts w:cs="仿宋"/>
                <w:color w:val="auto"/>
                <w:highlight w:val="none"/>
              </w:rPr>
            </w:pPr>
          </w:p>
        </w:tc>
      </w:tr>
    </w:tbl>
    <w:p>
      <w:pPr>
        <w:wordWrap w:val="0"/>
        <w:adjustRightInd/>
        <w:spacing w:line="460" w:lineRule="exact"/>
        <w:ind w:firstLine="420" w:firstLineChars="200"/>
        <w:rPr>
          <w:rFonts w:cs="仿宋"/>
          <w:color w:val="auto"/>
          <w:highlight w:val="none"/>
        </w:rPr>
      </w:pPr>
      <w:r>
        <w:rPr>
          <w:rFonts w:hint="eastAsia" w:ascii="宋体" w:hAnsi="宋体" w:cs="仿宋"/>
          <w:color w:val="auto"/>
          <w:highlight w:val="none"/>
        </w:rPr>
        <w:t>注：本表由招标人按需要提出</w:t>
      </w:r>
    </w:p>
    <w:p>
      <w:pPr>
        <w:ind w:firstLine="480"/>
        <w:rPr>
          <w:color w:val="auto"/>
          <w:highlight w:val="none"/>
        </w:rPr>
        <w:sectPr>
          <w:pgSz w:w="12240" w:h="15840"/>
          <w:pgMar w:top="1304" w:right="964" w:bottom="964" w:left="1531" w:header="720" w:footer="720" w:gutter="0"/>
          <w:cols w:space="720" w:num="1"/>
          <w:titlePg/>
          <w:docGrid w:linePitch="312" w:charSpace="0"/>
        </w:sectPr>
      </w:pPr>
    </w:p>
    <w:p>
      <w:pPr>
        <w:wordWrap w:val="0"/>
        <w:jc w:val="center"/>
        <w:outlineLvl w:val="4"/>
        <w:rPr>
          <w:rFonts w:cs="仿宋"/>
          <w:b/>
          <w:bCs/>
          <w:color w:val="auto"/>
          <w:sz w:val="32"/>
          <w:szCs w:val="28"/>
          <w:highlight w:val="none"/>
        </w:rPr>
      </w:pPr>
      <w:r>
        <w:rPr>
          <w:rFonts w:hint="eastAsia" w:ascii="宋体" w:hAnsi="宋体" w:cs="仿宋"/>
          <w:b/>
          <w:bCs/>
          <w:color w:val="auto"/>
          <w:sz w:val="32"/>
          <w:szCs w:val="28"/>
          <w:highlight w:val="none"/>
        </w:rPr>
        <w:t>表2-4  措施项目工料机分析表</w:t>
      </w:r>
    </w:p>
    <w:p>
      <w:pPr>
        <w:wordWrap w:val="0"/>
        <w:adjustRightInd/>
        <w:spacing w:line="460" w:lineRule="exact"/>
        <w:ind w:firstLine="420" w:firstLineChars="200"/>
        <w:rPr>
          <w:rFonts w:cs="仿宋"/>
          <w:color w:val="auto"/>
          <w:highlight w:val="none"/>
        </w:rPr>
      </w:pPr>
      <w:r>
        <w:rPr>
          <w:rFonts w:hint="eastAsia" w:ascii="宋体" w:hAnsi="宋体" w:cs="仿宋"/>
          <w:color w:val="auto"/>
          <w:highlight w:val="none"/>
        </w:rPr>
        <w:t>项目编码：                                             计量单位：</w:t>
      </w:r>
    </w:p>
    <w:p>
      <w:pPr>
        <w:wordWrap w:val="0"/>
        <w:adjustRightInd/>
        <w:spacing w:line="460" w:lineRule="exact"/>
        <w:ind w:firstLine="420" w:firstLineChars="200"/>
        <w:rPr>
          <w:rFonts w:cs="仿宋"/>
          <w:color w:val="auto"/>
          <w:highlight w:val="none"/>
        </w:rPr>
      </w:pPr>
      <w:r>
        <w:rPr>
          <w:rFonts w:hint="eastAsia" w:ascii="宋体" w:hAnsi="宋体" w:cs="仿宋"/>
          <w:color w:val="auto"/>
          <w:highlight w:val="none"/>
        </w:rPr>
        <w:t>项目名称：                                             第   页 共  页</w:t>
      </w:r>
    </w:p>
    <w:tbl>
      <w:tblPr>
        <w:tblStyle w:val="63"/>
        <w:tblW w:w="8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900"/>
        <w:gridCol w:w="1260"/>
        <w:gridCol w:w="1260"/>
        <w:gridCol w:w="1440"/>
        <w:gridCol w:w="144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828" w:type="dxa"/>
            <w:vMerge w:val="restart"/>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序号</w:t>
            </w:r>
          </w:p>
        </w:tc>
        <w:tc>
          <w:tcPr>
            <w:tcW w:w="2160" w:type="dxa"/>
            <w:gridSpan w:val="2"/>
            <w:vMerge w:val="restart"/>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名称及规格</w:t>
            </w:r>
          </w:p>
        </w:tc>
        <w:tc>
          <w:tcPr>
            <w:tcW w:w="1260" w:type="dxa"/>
            <w:vMerge w:val="restart"/>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单位</w:t>
            </w:r>
          </w:p>
        </w:tc>
        <w:tc>
          <w:tcPr>
            <w:tcW w:w="1440" w:type="dxa"/>
            <w:vMerge w:val="restart"/>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数量</w:t>
            </w:r>
          </w:p>
        </w:tc>
        <w:tc>
          <w:tcPr>
            <w:tcW w:w="3060" w:type="dxa"/>
            <w:gridSpan w:val="2"/>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828" w:type="dxa"/>
            <w:vMerge w:val="continue"/>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2160" w:type="dxa"/>
            <w:gridSpan w:val="2"/>
            <w:vMerge w:val="continue"/>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260" w:type="dxa"/>
            <w:vMerge w:val="continue"/>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440" w:type="dxa"/>
            <w:vMerge w:val="continue"/>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44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单价</w:t>
            </w:r>
          </w:p>
        </w:tc>
        <w:tc>
          <w:tcPr>
            <w:tcW w:w="162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828" w:type="dxa"/>
            <w:vMerge w:val="restart"/>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900" w:type="dxa"/>
            <w:vMerge w:val="restart"/>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人工</w:t>
            </w:r>
          </w:p>
        </w:tc>
        <w:tc>
          <w:tcPr>
            <w:tcW w:w="126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一类</w:t>
            </w:r>
          </w:p>
        </w:tc>
        <w:tc>
          <w:tcPr>
            <w:tcW w:w="126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工日</w:t>
            </w:r>
          </w:p>
        </w:tc>
        <w:tc>
          <w:tcPr>
            <w:tcW w:w="144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44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62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828" w:type="dxa"/>
            <w:vMerge w:val="continue"/>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900" w:type="dxa"/>
            <w:vMerge w:val="continue"/>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26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二类</w:t>
            </w:r>
          </w:p>
        </w:tc>
        <w:tc>
          <w:tcPr>
            <w:tcW w:w="126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工日</w:t>
            </w:r>
          </w:p>
        </w:tc>
        <w:tc>
          <w:tcPr>
            <w:tcW w:w="144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44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62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828" w:type="dxa"/>
            <w:vMerge w:val="continue"/>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900" w:type="dxa"/>
            <w:vMerge w:val="continue"/>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26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三类</w:t>
            </w:r>
          </w:p>
        </w:tc>
        <w:tc>
          <w:tcPr>
            <w:tcW w:w="126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工日</w:t>
            </w:r>
          </w:p>
        </w:tc>
        <w:tc>
          <w:tcPr>
            <w:tcW w:w="144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44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62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828"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1</w:t>
            </w:r>
          </w:p>
        </w:tc>
        <w:tc>
          <w:tcPr>
            <w:tcW w:w="6300" w:type="dxa"/>
            <w:gridSpan w:val="5"/>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人工费小计</w:t>
            </w:r>
          </w:p>
        </w:tc>
        <w:tc>
          <w:tcPr>
            <w:tcW w:w="162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828" w:type="dxa"/>
            <w:vMerge w:val="restart"/>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900" w:type="dxa"/>
            <w:vMerge w:val="restart"/>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主要材料</w:t>
            </w:r>
          </w:p>
        </w:tc>
        <w:tc>
          <w:tcPr>
            <w:tcW w:w="126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26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44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44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62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828" w:type="dxa"/>
            <w:vMerge w:val="continue"/>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900" w:type="dxa"/>
            <w:vMerge w:val="continue"/>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26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26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44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44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62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828" w:type="dxa"/>
            <w:vMerge w:val="continue"/>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900" w:type="dxa"/>
            <w:vMerge w:val="continue"/>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26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26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44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44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62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828" w:type="dxa"/>
            <w:vMerge w:val="continue"/>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6300" w:type="dxa"/>
            <w:gridSpan w:val="5"/>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其他材料费</w:t>
            </w:r>
          </w:p>
        </w:tc>
        <w:tc>
          <w:tcPr>
            <w:tcW w:w="162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828"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2</w:t>
            </w:r>
          </w:p>
        </w:tc>
        <w:tc>
          <w:tcPr>
            <w:tcW w:w="6300" w:type="dxa"/>
            <w:gridSpan w:val="5"/>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材料费小计</w:t>
            </w:r>
          </w:p>
        </w:tc>
        <w:tc>
          <w:tcPr>
            <w:tcW w:w="162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828" w:type="dxa"/>
            <w:vMerge w:val="restart"/>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900" w:type="dxa"/>
            <w:vMerge w:val="restart"/>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主要机械</w:t>
            </w:r>
          </w:p>
        </w:tc>
        <w:tc>
          <w:tcPr>
            <w:tcW w:w="126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26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44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44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62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828" w:type="dxa"/>
            <w:vMerge w:val="continue"/>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900" w:type="dxa"/>
            <w:vMerge w:val="continue"/>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26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26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44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44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62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828" w:type="dxa"/>
            <w:vMerge w:val="continue"/>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900" w:type="dxa"/>
            <w:vMerge w:val="continue"/>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26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26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44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44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62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828" w:type="dxa"/>
            <w:vMerge w:val="continue"/>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6300" w:type="dxa"/>
            <w:gridSpan w:val="5"/>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其他机械费</w:t>
            </w:r>
          </w:p>
        </w:tc>
        <w:tc>
          <w:tcPr>
            <w:tcW w:w="162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828"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3</w:t>
            </w:r>
          </w:p>
        </w:tc>
        <w:tc>
          <w:tcPr>
            <w:tcW w:w="6300" w:type="dxa"/>
            <w:gridSpan w:val="5"/>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rPr>
                <w:rFonts w:cs="仿宋"/>
                <w:color w:val="auto"/>
                <w:highlight w:val="none"/>
              </w:rPr>
            </w:pPr>
            <w:r>
              <w:rPr>
                <w:rFonts w:hint="eastAsia" w:ascii="宋体" w:hAnsi="宋体" w:cs="仿宋"/>
                <w:color w:val="auto"/>
                <w:highlight w:val="none"/>
              </w:rPr>
              <w:t>机械费小计</w:t>
            </w:r>
          </w:p>
        </w:tc>
        <w:tc>
          <w:tcPr>
            <w:tcW w:w="162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828"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4</w:t>
            </w:r>
          </w:p>
        </w:tc>
        <w:tc>
          <w:tcPr>
            <w:tcW w:w="6300" w:type="dxa"/>
            <w:gridSpan w:val="5"/>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rPr>
                <w:rFonts w:cs="仿宋"/>
                <w:color w:val="auto"/>
                <w:highlight w:val="none"/>
              </w:rPr>
            </w:pPr>
            <w:r>
              <w:rPr>
                <w:rFonts w:hint="eastAsia" w:ascii="宋体" w:hAnsi="宋体" w:cs="仿宋"/>
                <w:color w:val="auto"/>
                <w:highlight w:val="none"/>
              </w:rPr>
              <w:t>直接工程费(1+2+3)</w:t>
            </w:r>
          </w:p>
        </w:tc>
        <w:tc>
          <w:tcPr>
            <w:tcW w:w="162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828"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5</w:t>
            </w:r>
          </w:p>
        </w:tc>
        <w:tc>
          <w:tcPr>
            <w:tcW w:w="6300" w:type="dxa"/>
            <w:gridSpan w:val="5"/>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rPr>
                <w:rFonts w:cs="仿宋"/>
                <w:color w:val="auto"/>
                <w:highlight w:val="none"/>
              </w:rPr>
            </w:pPr>
            <w:r>
              <w:rPr>
                <w:rFonts w:hint="eastAsia" w:ascii="宋体" w:hAnsi="宋体" w:cs="仿宋"/>
                <w:color w:val="auto"/>
                <w:highlight w:val="none"/>
              </w:rPr>
              <w:t>管理费</w:t>
            </w:r>
          </w:p>
        </w:tc>
        <w:tc>
          <w:tcPr>
            <w:tcW w:w="162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828"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6</w:t>
            </w:r>
          </w:p>
        </w:tc>
        <w:tc>
          <w:tcPr>
            <w:tcW w:w="6300" w:type="dxa"/>
            <w:gridSpan w:val="5"/>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rPr>
                <w:rFonts w:cs="仿宋"/>
                <w:color w:val="auto"/>
                <w:highlight w:val="none"/>
              </w:rPr>
            </w:pPr>
            <w:r>
              <w:rPr>
                <w:rFonts w:hint="eastAsia" w:ascii="宋体" w:hAnsi="宋体" w:cs="仿宋"/>
                <w:color w:val="auto"/>
                <w:highlight w:val="none"/>
              </w:rPr>
              <w:t>利润</w:t>
            </w:r>
          </w:p>
        </w:tc>
        <w:tc>
          <w:tcPr>
            <w:tcW w:w="162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828"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7</w:t>
            </w:r>
          </w:p>
        </w:tc>
        <w:tc>
          <w:tcPr>
            <w:tcW w:w="6300" w:type="dxa"/>
            <w:gridSpan w:val="5"/>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rPr>
                <w:rFonts w:cs="仿宋"/>
                <w:color w:val="auto"/>
                <w:highlight w:val="none"/>
              </w:rPr>
            </w:pPr>
            <w:r>
              <w:rPr>
                <w:rFonts w:hint="eastAsia" w:ascii="宋体" w:hAnsi="宋体" w:cs="仿宋"/>
                <w:color w:val="auto"/>
                <w:highlight w:val="none"/>
              </w:rPr>
              <w:t>风险费用</w:t>
            </w:r>
          </w:p>
        </w:tc>
        <w:tc>
          <w:tcPr>
            <w:tcW w:w="162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828"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8</w:t>
            </w:r>
          </w:p>
        </w:tc>
        <w:tc>
          <w:tcPr>
            <w:tcW w:w="6300" w:type="dxa"/>
            <w:gridSpan w:val="5"/>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rPr>
                <w:rFonts w:cs="仿宋"/>
                <w:color w:val="auto"/>
                <w:highlight w:val="none"/>
              </w:rPr>
            </w:pPr>
            <w:r>
              <w:rPr>
                <w:rFonts w:hint="eastAsia" w:ascii="宋体" w:hAnsi="宋体" w:cs="仿宋"/>
                <w:color w:val="auto"/>
                <w:highlight w:val="none"/>
              </w:rPr>
              <w:t>合计（4+5+6+7）</w:t>
            </w:r>
          </w:p>
        </w:tc>
        <w:tc>
          <w:tcPr>
            <w:tcW w:w="1620"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bl>
    <w:p>
      <w:pPr>
        <w:wordWrap w:val="0"/>
        <w:adjustRightInd/>
        <w:spacing w:line="460" w:lineRule="exact"/>
        <w:ind w:firstLine="420" w:firstLineChars="200"/>
        <w:rPr>
          <w:rFonts w:cs="仿宋"/>
          <w:color w:val="auto"/>
          <w:highlight w:val="none"/>
        </w:rPr>
      </w:pPr>
      <w:r>
        <w:rPr>
          <w:rFonts w:hint="eastAsia" w:ascii="宋体" w:hAnsi="宋体" w:cs="仿宋"/>
          <w:color w:val="auto"/>
          <w:highlight w:val="none"/>
        </w:rPr>
        <w:t>注：本表由招标人按需要提出</w:t>
      </w:r>
    </w:p>
    <w:p>
      <w:pPr>
        <w:wordWrap w:val="0"/>
        <w:adjustRightInd/>
        <w:spacing w:line="460" w:lineRule="exact"/>
        <w:ind w:firstLine="420" w:firstLineChars="200"/>
        <w:rPr>
          <w:rFonts w:cs="仿宋"/>
          <w:color w:val="auto"/>
          <w:highlight w:val="none"/>
        </w:rPr>
      </w:pPr>
    </w:p>
    <w:p>
      <w:pPr>
        <w:wordWrap w:val="0"/>
        <w:jc w:val="center"/>
        <w:outlineLvl w:val="4"/>
        <w:rPr>
          <w:rFonts w:cs="仿宋"/>
          <w:b/>
          <w:bCs/>
          <w:color w:val="auto"/>
          <w:sz w:val="32"/>
          <w:szCs w:val="28"/>
          <w:highlight w:val="none"/>
        </w:rPr>
      </w:pPr>
      <w:r>
        <w:rPr>
          <w:rFonts w:hint="eastAsia" w:ascii="宋体" w:hAnsi="宋体" w:cs="仿宋"/>
          <w:b/>
          <w:bCs/>
          <w:color w:val="auto"/>
          <w:sz w:val="32"/>
          <w:szCs w:val="28"/>
          <w:highlight w:val="none"/>
        </w:rPr>
        <w:br w:type="page"/>
      </w:r>
      <w:r>
        <w:rPr>
          <w:rFonts w:hint="eastAsia" w:ascii="宋体" w:hAnsi="宋体" w:cs="仿宋"/>
          <w:b/>
          <w:bCs/>
          <w:color w:val="auto"/>
          <w:sz w:val="32"/>
          <w:szCs w:val="28"/>
          <w:highlight w:val="none"/>
        </w:rPr>
        <w:t>表2-5  临时宿舍取暖降温等费用分析表</w:t>
      </w:r>
    </w:p>
    <w:p>
      <w:pPr>
        <w:wordWrap w:val="0"/>
        <w:adjustRightInd/>
        <w:spacing w:line="460" w:lineRule="exact"/>
        <w:ind w:firstLine="420" w:firstLineChars="200"/>
        <w:rPr>
          <w:rFonts w:cs="仿宋"/>
          <w:color w:val="auto"/>
          <w:highlight w:val="none"/>
        </w:rPr>
      </w:pPr>
      <w:r>
        <w:rPr>
          <w:rFonts w:hint="eastAsia" w:ascii="宋体" w:hAnsi="宋体" w:cs="仿宋"/>
          <w:color w:val="auto"/>
          <w:highlight w:val="none"/>
        </w:rPr>
        <w:t>工程名称：                                        第  页共  页</w:t>
      </w:r>
    </w:p>
    <w:tbl>
      <w:tblPr>
        <w:tblStyle w:val="63"/>
        <w:tblW w:w="88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
        <w:gridCol w:w="3182"/>
        <w:gridCol w:w="884"/>
        <w:gridCol w:w="996"/>
        <w:gridCol w:w="1524"/>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16"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序号</w:t>
            </w:r>
          </w:p>
        </w:tc>
        <w:tc>
          <w:tcPr>
            <w:tcW w:w="3182"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费用名称</w:t>
            </w:r>
          </w:p>
        </w:tc>
        <w:tc>
          <w:tcPr>
            <w:tcW w:w="8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单位</w:t>
            </w:r>
          </w:p>
        </w:tc>
        <w:tc>
          <w:tcPr>
            <w:tcW w:w="996"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数量</w:t>
            </w:r>
          </w:p>
        </w:tc>
        <w:tc>
          <w:tcPr>
            <w:tcW w:w="152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单价（元）</w:t>
            </w:r>
          </w:p>
        </w:tc>
        <w:tc>
          <w:tcPr>
            <w:tcW w:w="1362"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16"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一</w:t>
            </w:r>
          </w:p>
        </w:tc>
        <w:tc>
          <w:tcPr>
            <w:tcW w:w="3182"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现场临时宿舍空调设施</w:t>
            </w:r>
          </w:p>
        </w:tc>
        <w:tc>
          <w:tcPr>
            <w:tcW w:w="8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996"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52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362"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16"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3182"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996"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52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362"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16"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二</w:t>
            </w:r>
          </w:p>
        </w:tc>
        <w:tc>
          <w:tcPr>
            <w:tcW w:w="3182"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安全生产责任保险</w:t>
            </w:r>
          </w:p>
        </w:tc>
        <w:tc>
          <w:tcPr>
            <w:tcW w:w="8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996"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52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362"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16"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3182"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996"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52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362"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16"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3182"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996"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52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362"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16"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3182"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996"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52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362"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16"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3182"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996"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52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362"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16"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3182"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996"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52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362"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16"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3182"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8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996"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52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362"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16"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3182"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r>
              <w:rPr>
                <w:rFonts w:hint="eastAsia" w:ascii="宋体" w:hAnsi="宋体" w:cs="仿宋"/>
                <w:color w:val="auto"/>
                <w:highlight w:val="none"/>
              </w:rPr>
              <w:t>合计</w:t>
            </w:r>
          </w:p>
        </w:tc>
        <w:tc>
          <w:tcPr>
            <w:tcW w:w="88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996"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524"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c>
          <w:tcPr>
            <w:tcW w:w="1362" w:type="dxa"/>
            <w:tcBorders>
              <w:top w:val="single" w:color="auto" w:sz="4" w:space="0"/>
              <w:left w:val="single" w:color="auto" w:sz="4" w:space="0"/>
              <w:bottom w:val="single" w:color="auto" w:sz="4" w:space="0"/>
              <w:right w:val="single" w:color="auto" w:sz="4" w:space="0"/>
            </w:tcBorders>
            <w:noWrap/>
            <w:vAlign w:val="center"/>
          </w:tcPr>
          <w:p>
            <w:pPr>
              <w:wordWrap w:val="0"/>
              <w:adjustRightInd/>
              <w:spacing w:line="460" w:lineRule="exact"/>
              <w:jc w:val="center"/>
              <w:rPr>
                <w:rFonts w:cs="仿宋"/>
                <w:color w:val="auto"/>
                <w:highlight w:val="none"/>
              </w:rPr>
            </w:pPr>
          </w:p>
        </w:tc>
      </w:tr>
    </w:tbl>
    <w:p>
      <w:pPr>
        <w:wordWrap w:val="0"/>
        <w:adjustRightInd/>
        <w:spacing w:line="460" w:lineRule="exact"/>
        <w:ind w:firstLine="420" w:firstLineChars="200"/>
        <w:rPr>
          <w:rFonts w:cs="仿宋"/>
          <w:color w:val="auto"/>
          <w:highlight w:val="none"/>
        </w:rPr>
      </w:pPr>
    </w:p>
    <w:p>
      <w:pPr>
        <w:ind w:right="420"/>
        <w:rPr>
          <w:rFonts w:ascii="宋体" w:hAnsi="宋体" w:cs="宋体"/>
          <w:color w:val="auto"/>
          <w:sz w:val="24"/>
          <w:highlight w:val="none"/>
        </w:rPr>
      </w:pPr>
      <w:r>
        <w:rPr>
          <w:rFonts w:hint="eastAsia" w:ascii="宋体" w:hAnsi="宋体" w:cs="仿宋"/>
          <w:color w:val="auto"/>
          <w:highlight w:val="none"/>
        </w:rPr>
        <w:t>注：本表为企业管理费部分内容的报价分析表，由投标人根据市政府、市建设行政主管部门颁发的有关文件对于现场民工宿舍空调的设置要求或标准、安责险等规定进行相应数量和费用的报价。</w:t>
      </w:r>
    </w:p>
    <w:p>
      <w:pPr>
        <w:pStyle w:val="62"/>
        <w:ind w:firstLine="480"/>
        <w:rPr>
          <w:rFonts w:cs="宋体"/>
          <w:color w:val="auto"/>
          <w:sz w:val="24"/>
          <w:highlight w:val="none"/>
        </w:rPr>
      </w:pPr>
    </w:p>
    <w:p>
      <w:pPr>
        <w:pStyle w:val="62"/>
        <w:ind w:firstLine="480"/>
        <w:rPr>
          <w:rFonts w:cs="宋体"/>
          <w:color w:val="auto"/>
          <w:sz w:val="24"/>
          <w:highlight w:val="none"/>
        </w:rPr>
        <w:sectPr>
          <w:footerReference r:id="rId32" w:type="first"/>
          <w:headerReference r:id="rId29" w:type="default"/>
          <w:footerReference r:id="rId30" w:type="default"/>
          <w:footerReference r:id="rId31" w:type="even"/>
          <w:pgSz w:w="11906" w:h="16838"/>
          <w:pgMar w:top="1440" w:right="1080" w:bottom="1440" w:left="1080" w:header="851" w:footer="992" w:gutter="0"/>
          <w:cols w:space="720" w:num="1"/>
          <w:titlePg/>
          <w:docGrid w:linePitch="312" w:charSpace="0"/>
        </w:sectPr>
      </w:pPr>
    </w:p>
    <w:p>
      <w:pPr>
        <w:pStyle w:val="693"/>
        <w:keepNext w:val="0"/>
        <w:pageBreakBefore w:val="0"/>
        <w:tabs>
          <w:tab w:val="clear" w:pos="720"/>
        </w:tabs>
        <w:snapToGrid w:val="0"/>
        <w:spacing w:before="120" w:after="120"/>
        <w:ind w:firstLine="643"/>
        <w:outlineLvl w:val="9"/>
        <w:rPr>
          <w:rFonts w:ascii="宋体" w:hAnsi="宋体" w:eastAsia="宋体" w:cs="宋体"/>
          <w:color w:val="auto"/>
          <w:sz w:val="32"/>
          <w:szCs w:val="32"/>
          <w:highlight w:val="none"/>
        </w:rPr>
      </w:pPr>
      <w:r>
        <w:rPr>
          <w:rFonts w:hint="eastAsia" w:ascii="宋体" w:hAnsi="宋体" w:eastAsia="宋体" w:cs="宋体"/>
          <w:color w:val="auto"/>
          <w:kern w:val="2"/>
          <w:sz w:val="32"/>
          <w:szCs w:val="32"/>
          <w:highlight w:val="none"/>
        </w:rPr>
        <w:t>四、</w:t>
      </w:r>
      <w:r>
        <w:rPr>
          <w:rFonts w:hint="eastAsia" w:ascii="宋体" w:hAnsi="宋体" w:eastAsia="宋体" w:cs="宋体"/>
          <w:color w:val="auto"/>
          <w:sz w:val="32"/>
          <w:szCs w:val="32"/>
          <w:highlight w:val="none"/>
        </w:rPr>
        <w:t>中小企业声明函</w:t>
      </w:r>
      <w:bookmarkStart w:id="440" w:name="_Hlk101259491"/>
      <w:r>
        <w:rPr>
          <w:rFonts w:hint="eastAsia" w:ascii="宋体" w:hAnsi="宋体" w:eastAsia="宋体" w:cs="宋体"/>
          <w:color w:val="auto"/>
          <w:sz w:val="32"/>
          <w:szCs w:val="32"/>
          <w:highlight w:val="none"/>
        </w:rPr>
        <w:t>（如果有）</w:t>
      </w:r>
      <w:bookmarkEnd w:id="440"/>
    </w:p>
    <w:p>
      <w:pPr>
        <w:widowControl/>
        <w:spacing w:line="360" w:lineRule="auto"/>
        <w:ind w:firstLine="120" w:firstLineChars="50"/>
        <w:jc w:val="left"/>
        <w:rPr>
          <w:rFonts w:ascii="宋体" w:hAnsi="宋体" w:cs="宋体"/>
          <w:b/>
          <w:color w:val="auto"/>
          <w:sz w:val="24"/>
          <w:highlight w:val="none"/>
        </w:rPr>
      </w:pPr>
      <w:r>
        <w:rPr>
          <w:rFonts w:hint="eastAsia" w:ascii="宋体" w:hAnsi="宋体" w:cs="宋体"/>
          <w:b/>
          <w:color w:val="auto"/>
          <w:sz w:val="24"/>
          <w:highlight w:val="none"/>
        </w:rPr>
        <w:t>[竞争性磋商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auto"/>
          <w:sz w:val="24"/>
          <w:highlight w:val="none"/>
        </w:rPr>
        <w:t>7</w:t>
      </w:r>
      <w:r>
        <w:rPr>
          <w:rFonts w:hint="eastAsia" w:ascii="宋体" w:hAnsi="宋体" w:cs="宋体"/>
          <w:b/>
          <w:color w:val="auto"/>
          <w:sz w:val="24"/>
          <w:highlight w:val="none"/>
        </w:rPr>
        <w:t>）。]</w:t>
      </w:r>
    </w:p>
    <w:p>
      <w:pPr>
        <w:pStyle w:val="2"/>
        <w:keepNext w:val="0"/>
        <w:keepLines w:val="0"/>
        <w:pageBreakBefore/>
        <w:widowControl/>
        <w:spacing w:before="100" w:beforeAutospacing="1" w:after="100" w:afterAutospacing="1" w:line="360" w:lineRule="auto"/>
        <w:ind w:left="1290" w:firstLine="3092" w:firstLineChars="700"/>
        <w:rPr>
          <w:rFonts w:ascii="宋体" w:hAnsi="宋体" w:cs="宋体"/>
          <w:color w:val="auto"/>
          <w:highlight w:val="none"/>
        </w:rPr>
      </w:pPr>
      <w:bookmarkStart w:id="441" w:name="_Toc465665161"/>
      <w:r>
        <w:rPr>
          <w:rFonts w:hint="eastAsia" w:ascii="宋体" w:hAnsi="宋体" w:cs="宋体"/>
          <w:color w:val="auto"/>
          <w:highlight w:val="none"/>
        </w:rPr>
        <w:t>附件</w:t>
      </w:r>
      <w:bookmarkEnd w:id="441"/>
    </w:p>
    <w:p>
      <w:pPr>
        <w:spacing w:line="360" w:lineRule="auto"/>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附件1：</w:t>
      </w:r>
    </w:p>
    <w:p>
      <w:pPr>
        <w:spacing w:line="360" w:lineRule="auto"/>
        <w:jc w:val="center"/>
        <w:rPr>
          <w:rFonts w:ascii="宋体" w:hAnsi="宋体" w:cs="宋体"/>
          <w:b/>
          <w:color w:val="auto"/>
          <w:spacing w:val="6"/>
          <w:sz w:val="32"/>
          <w:szCs w:val="32"/>
          <w:highlight w:val="none"/>
        </w:rPr>
      </w:pPr>
      <w:bookmarkStart w:id="442" w:name="OLE_LINK14"/>
      <w:bookmarkStart w:id="443" w:name="OLE_LINK13"/>
      <w:r>
        <w:rPr>
          <w:rFonts w:hint="eastAsia" w:ascii="宋体" w:hAnsi="宋体" w:cs="宋体"/>
          <w:b/>
          <w:color w:val="auto"/>
          <w:spacing w:val="6"/>
          <w:sz w:val="32"/>
          <w:szCs w:val="32"/>
          <w:highlight w:val="none"/>
        </w:rPr>
        <w:t>残疾人福利性单位声明函</w:t>
      </w:r>
    </w:p>
    <w:bookmarkEnd w:id="442"/>
    <w:bookmarkEnd w:id="443"/>
    <w:p>
      <w:pPr>
        <w:spacing w:line="360" w:lineRule="auto"/>
        <w:rPr>
          <w:rFonts w:ascii="宋体" w:hAnsi="宋体" w:cs="宋体"/>
          <w:b/>
          <w:color w:val="auto"/>
          <w:spacing w:val="6"/>
          <w:sz w:val="30"/>
          <w:szCs w:val="30"/>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本单位对上述声明的真实性负责。如有虚假，将依法承担相应责任。</w:t>
      </w: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kern w:val="0"/>
          <w:sz w:val="24"/>
          <w:highlight w:val="none"/>
          <w:lang w:val="zh-CN"/>
        </w:rPr>
        <w:t>供应商名称（电子签名）</w:t>
      </w:r>
      <w:r>
        <w:rPr>
          <w:rFonts w:hint="eastAsia" w:ascii="宋体" w:hAnsi="宋体" w:cs="宋体"/>
          <w:color w:val="auto"/>
          <w:sz w:val="24"/>
          <w:highlight w:val="none"/>
        </w:rPr>
        <w:t>：</w:t>
      </w: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日  期：</w:t>
      </w:r>
    </w:p>
    <w:p>
      <w:pPr>
        <w:spacing w:line="360" w:lineRule="auto"/>
        <w:ind w:firstLine="480" w:firstLineChars="200"/>
        <w:rPr>
          <w:rFonts w:ascii="宋体" w:hAnsi="宋体" w:cs="宋体"/>
          <w:color w:val="auto"/>
          <w:sz w:val="24"/>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附件2：质疑函范本及制作说明</w:t>
      </w: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质疑函范本</w:t>
      </w:r>
    </w:p>
    <w:p>
      <w:pPr>
        <w:snapToGrid w:val="0"/>
        <w:spacing w:before="240" w:beforeLines="100" w:line="360" w:lineRule="auto"/>
        <w:rPr>
          <w:rFonts w:ascii="宋体" w:hAnsi="宋体" w:cs="宋体"/>
          <w:bCs/>
          <w:color w:val="auto"/>
          <w:sz w:val="24"/>
          <w:highlight w:val="none"/>
        </w:rPr>
      </w:pPr>
      <w:r>
        <w:rPr>
          <w:rFonts w:hint="eastAsia" w:ascii="宋体" w:hAnsi="宋体" w:cs="宋体"/>
          <w:bCs/>
          <w:color w:val="auto"/>
          <w:sz w:val="24"/>
          <w:highlight w:val="none"/>
        </w:rPr>
        <w:t>一、质疑供应商基本信息</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质疑供应商：</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地址：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地址： </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二、质疑项目基本情况</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采购文件获取日期：</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三、质疑事项具体内容</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质疑事项1：</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质疑事项2</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四、与质疑事项相关的质疑请求</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jc w:val="center"/>
        <w:rPr>
          <w:rFonts w:ascii="宋体" w:hAnsi="宋体" w:cs="宋体"/>
          <w:b/>
          <w:bCs/>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质疑函制作说明：</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1.供应商提出质疑时，应提交质疑函和必要的证明材料。</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2.质疑供应商若委托代理人进行质疑的，质疑函应按要求列明“授权代表”的有关内容，并在附件中提交由质疑</w:t>
      </w:r>
      <w:r>
        <w:rPr>
          <w:rFonts w:hint="eastAsia" w:ascii="宋体" w:hAnsi="宋体"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3.质疑供应商若对项目的某一分包进行质疑，质疑函中应列明具体分包号。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4.质疑函的质疑事项应具体、明确，并有必要的事实依据和法律依据。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5.质疑函的质疑请求应与质疑事项相关。</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color w:val="auto"/>
          <w:sz w:val="30"/>
          <w:szCs w:val="30"/>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附件3：投诉书范本及制作说明</w:t>
      </w:r>
    </w:p>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投诉书范本</w:t>
      </w:r>
    </w:p>
    <w:p>
      <w:pPr>
        <w:spacing w:line="360" w:lineRule="auto"/>
        <w:rPr>
          <w:rFonts w:ascii="宋体" w:hAnsi="宋体" w:cs="宋体"/>
          <w:color w:val="auto"/>
          <w:sz w:val="24"/>
          <w:highlight w:val="none"/>
        </w:rPr>
      </w:pPr>
      <w:r>
        <w:rPr>
          <w:rFonts w:hint="eastAsia" w:ascii="宋体" w:hAnsi="宋体" w:cs="宋体"/>
          <w:color w:val="auto"/>
          <w:sz w:val="24"/>
          <w:highlight w:val="none"/>
        </w:rPr>
        <w:t>一、投诉相关主体基本情况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投诉人：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tabs>
          <w:tab w:val="left" w:pos="6510"/>
        </w:tabs>
        <w:spacing w:line="360" w:lineRule="auto"/>
        <w:jc w:val="left"/>
        <w:rPr>
          <w:rFonts w:ascii="宋体" w:hAnsi="宋体" w:cs="宋体"/>
          <w:color w:val="auto"/>
          <w:sz w:val="24"/>
          <w:highlight w:val="none"/>
        </w:rPr>
      </w:pPr>
      <w:r>
        <w:rPr>
          <w:rFonts w:hint="eastAsia" w:ascii="宋体" w:hAnsi="宋体" w:cs="宋体"/>
          <w:color w:val="auto"/>
          <w:sz w:val="24"/>
          <w:highlight w:val="none"/>
        </w:rPr>
        <w:t>法定代表人/主要负责人：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tabs>
          <w:tab w:val="left" w:pos="6510"/>
        </w:tabs>
        <w:spacing w:line="360" w:lineRule="auto"/>
        <w:rPr>
          <w:rFonts w:ascii="宋体" w:hAnsi="宋体" w:cs="宋体"/>
          <w:color w:val="auto"/>
          <w:sz w:val="24"/>
          <w:highlight w:val="none"/>
          <w:u w:val="dotted"/>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被投诉人1：</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被投诉人2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相关供应商：</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二、投诉项目基本情况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采购项目名称：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采购项目编号：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代理机构名称：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采购文件公告: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采购结果公告: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三、质疑基本情况</w:t>
      </w:r>
    </w:p>
    <w:p>
      <w:pPr>
        <w:spacing w:line="360" w:lineRule="auto"/>
        <w:ind w:firstLine="480" w:firstLineChars="200"/>
        <w:rPr>
          <w:rFonts w:ascii="宋体" w:hAnsi="宋体" w:cs="宋体"/>
          <w:color w:val="auto"/>
          <w:sz w:val="24"/>
          <w:highlight w:val="none"/>
          <w:u w:val="dotted"/>
        </w:rPr>
      </w:pPr>
      <w:r>
        <w:rPr>
          <w:rFonts w:hint="eastAsia" w:ascii="宋体" w:hAnsi="宋体" w:cs="宋体"/>
          <w:color w:val="auto"/>
          <w:sz w:val="24"/>
          <w:highlight w:val="none"/>
        </w:rPr>
        <w:t>投诉人于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日,向</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提出质疑，质疑事项为：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u w:val="dotted"/>
        </w:rPr>
        <w:t>采购人/代理机构</w:t>
      </w:r>
      <w:r>
        <w:rPr>
          <w:rFonts w:hint="eastAsia" w:ascii="宋体" w:hAnsi="宋体" w:cs="宋体"/>
          <w:color w:val="auto"/>
          <w:sz w:val="24"/>
          <w:highlight w:val="none"/>
        </w:rPr>
        <w:t>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日,就质疑事项作出了答复/没有在法定期限内作出答复。</w:t>
      </w:r>
    </w:p>
    <w:p>
      <w:pPr>
        <w:spacing w:line="360" w:lineRule="auto"/>
        <w:rPr>
          <w:rFonts w:ascii="宋体" w:hAnsi="宋体" w:cs="宋体"/>
          <w:color w:val="auto"/>
          <w:sz w:val="24"/>
          <w:highlight w:val="none"/>
        </w:rPr>
      </w:pPr>
      <w:r>
        <w:rPr>
          <w:rFonts w:hint="eastAsia" w:ascii="宋体" w:hAnsi="宋体" w:cs="宋体"/>
          <w:color w:val="auto"/>
          <w:sz w:val="24"/>
          <w:highlight w:val="none"/>
        </w:rPr>
        <w:t>四、投诉事项具体内容</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投诉事项 1：</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投诉事项2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五、与投诉事项相关的投诉请求</w:t>
      </w:r>
    </w:p>
    <w:p>
      <w:pPr>
        <w:spacing w:line="360" w:lineRule="auto"/>
        <w:rPr>
          <w:rFonts w:ascii="宋体" w:hAnsi="宋体" w:cs="宋体"/>
          <w:color w:val="auto"/>
          <w:sz w:val="24"/>
          <w:highlight w:val="none"/>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投诉书制作说明：</w:t>
      </w:r>
    </w:p>
    <w:p>
      <w:pPr>
        <w:widowControl/>
        <w:spacing w:line="360" w:lineRule="auto"/>
        <w:ind w:firstLine="480" w:firstLineChars="200"/>
        <w:rPr>
          <w:rFonts w:ascii="宋体" w:hAnsi="宋体" w:cs="宋体"/>
          <w:color w:val="auto"/>
          <w:kern w:val="0"/>
          <w:sz w:val="24"/>
          <w:highlight w:val="none"/>
        </w:rPr>
      </w:pPr>
      <w:r>
        <w:rPr>
          <w:rFonts w:hint="eastAsia" w:ascii="宋体" w:hAnsi="宋体" w:cs="宋体"/>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2.投诉人若委托代理人进行投诉的，投诉书应按照要求列明“授权代表”的有关内容，并在附件中提交由</w:t>
      </w:r>
      <w:r>
        <w:rPr>
          <w:rFonts w:hint="eastAsia" w:ascii="宋体" w:hAnsi="宋体"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3.投诉人若对项目的某一分包进行投诉，投诉书应列明具体分包号。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4.投诉书应简要列明质疑事项，质疑函、质疑答复等作为附件材料提供。</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5.投诉书的投诉事项应具体、明确，并有必要的事实依据和法律依据。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6.投诉书的投诉请求应与投诉事项相关。</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color w:val="auto"/>
          <w:sz w:val="24"/>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bCs/>
          <w:color w:val="auto"/>
          <w:sz w:val="32"/>
          <w:szCs w:val="32"/>
          <w:highlight w:val="none"/>
        </w:rPr>
      </w:pPr>
      <w:r>
        <w:rPr>
          <w:rFonts w:hint="eastAsia" w:ascii="宋体" w:hAnsi="宋体" w:cs="宋体"/>
          <w:b/>
          <w:color w:val="auto"/>
          <w:spacing w:val="6"/>
          <w:sz w:val="32"/>
          <w:szCs w:val="32"/>
          <w:highlight w:val="none"/>
        </w:rPr>
        <w:t>附件4：</w:t>
      </w:r>
      <w:r>
        <w:rPr>
          <w:rFonts w:hint="eastAsia" w:ascii="宋体" w:hAnsi="宋体" w:cs="宋体"/>
          <w:b/>
          <w:bCs/>
          <w:color w:val="auto"/>
          <w:sz w:val="32"/>
          <w:szCs w:val="32"/>
          <w:highlight w:val="none"/>
        </w:rPr>
        <w:t>业务专用章使用说明函</w:t>
      </w:r>
    </w:p>
    <w:p>
      <w:pPr>
        <w:spacing w:line="360" w:lineRule="auto"/>
        <w:rPr>
          <w:rFonts w:ascii="宋体" w:hAnsi="宋体" w:cs="宋体"/>
          <w:color w:val="auto"/>
          <w:sz w:val="24"/>
          <w:highlight w:val="none"/>
          <w:u w:val="single"/>
        </w:rPr>
      </w:pPr>
    </w:p>
    <w:p>
      <w:pPr>
        <w:spacing w:line="360" w:lineRule="auto"/>
        <w:rPr>
          <w:rFonts w:ascii="宋体" w:hAnsi="宋体" w:cs="宋体"/>
          <w:color w:val="auto"/>
          <w:sz w:val="24"/>
          <w:highlight w:val="none"/>
        </w:rPr>
      </w:pPr>
      <w:r>
        <w:rPr>
          <w:rFonts w:hint="eastAsia" w:ascii="宋体" w:hAnsi="宋体" w:cs="宋体"/>
          <w:color w:val="auto"/>
          <w:sz w:val="24"/>
          <w:highlight w:val="none"/>
          <w:u w:val="single"/>
        </w:rPr>
        <w:t>（采购人）、（采购代理机构）</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lang w:val="zh-CN"/>
        </w:rPr>
        <w:t>我方</w:t>
      </w:r>
      <w:r>
        <w:rPr>
          <w:rFonts w:hint="eastAsia" w:ascii="宋体" w:hAnsi="宋体" w:cs="宋体"/>
          <w:color w:val="auto"/>
          <w:kern w:val="0"/>
          <w:sz w:val="24"/>
          <w:highlight w:val="none"/>
          <w:u w:val="single"/>
          <w:lang w:val="zh-CN"/>
        </w:rPr>
        <w:t xml:space="preserve">                         </w:t>
      </w:r>
      <w:r>
        <w:rPr>
          <w:rFonts w:hint="eastAsia" w:ascii="宋体" w:hAnsi="宋体" w:cs="宋体"/>
          <w:color w:val="auto"/>
          <w:sz w:val="24"/>
          <w:highlight w:val="none"/>
        </w:rPr>
        <w:t>(供应商全称)是中华人民共和国依法登记注册的合法企业，</w:t>
      </w:r>
      <w:r>
        <w:rPr>
          <w:rFonts w:hint="eastAsia" w:ascii="宋体" w:hAnsi="宋体" w:cs="宋体"/>
          <w:bCs/>
          <w:color w:val="auto"/>
          <w:sz w:val="24"/>
          <w:highlight w:val="none"/>
        </w:rPr>
        <w:t>在参加</w:t>
      </w:r>
      <w:r>
        <w:rPr>
          <w:rFonts w:hint="eastAsia" w:ascii="宋体" w:hAnsi="宋体" w:cs="宋体"/>
          <w:color w:val="auto"/>
          <w:sz w:val="24"/>
          <w:highlight w:val="none"/>
        </w:rPr>
        <w:t>你方组织的（项目名称）项目【项目编号：（采购编号）】</w:t>
      </w:r>
      <w:r>
        <w:rPr>
          <w:rFonts w:hint="eastAsia" w:ascii="宋体" w:hAnsi="宋体" w:cs="宋体"/>
          <w:bCs/>
          <w:color w:val="auto"/>
          <w:sz w:val="24"/>
          <w:highlight w:val="none"/>
        </w:rPr>
        <w:t>投标活动中作如下说明：</w:t>
      </w:r>
      <w:r>
        <w:rPr>
          <w:rFonts w:hint="eastAsia" w:ascii="宋体" w:hAnsi="宋体" w:cs="宋体"/>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特此说明。</w:t>
      </w: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right="480" w:firstLine="4080" w:firstLineChars="1700"/>
        <w:rPr>
          <w:rFonts w:ascii="宋体" w:hAnsi="宋体" w:cs="宋体"/>
          <w:color w:val="auto"/>
          <w:sz w:val="24"/>
          <w:highlight w:val="none"/>
        </w:rPr>
      </w:pPr>
      <w:r>
        <w:rPr>
          <w:rFonts w:hint="eastAsia" w:ascii="宋体" w:hAnsi="宋体" w:cs="宋体"/>
          <w:color w:val="auto"/>
          <w:sz w:val="24"/>
          <w:highlight w:val="none"/>
        </w:rPr>
        <w:t>供应商（法定名称章）：</w:t>
      </w:r>
    </w:p>
    <w:p>
      <w:pPr>
        <w:ind w:right="1440" w:firstLine="494"/>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rPr>
          <w:rFonts w:ascii="宋体" w:hAnsi="宋体" w:cs="宋体"/>
          <w:color w:val="auto"/>
          <w:sz w:val="24"/>
          <w:highlight w:val="none"/>
        </w:rPr>
      </w:pPr>
      <w:r>
        <w:rPr>
          <w:rFonts w:hint="eastAsia" w:ascii="宋体" w:hAnsi="宋体" w:cs="宋体"/>
          <w:b/>
          <w:bCs/>
          <w:color w:val="auto"/>
          <w:sz w:val="24"/>
          <w:highlight w:val="none"/>
        </w:rPr>
        <w:t>附：</w:t>
      </w:r>
    </w:p>
    <w:p>
      <w:pPr>
        <w:spacing w:line="360" w:lineRule="auto"/>
        <w:rPr>
          <w:rFonts w:ascii="宋体" w:hAnsi="宋体" w:cs="宋体"/>
          <w:bCs/>
          <w:color w:val="auto"/>
          <w:sz w:val="24"/>
          <w:highlight w:val="none"/>
        </w:rPr>
      </w:pPr>
      <w:r>
        <w:rPr>
          <w:rFonts w:ascii="宋体" w:hAnsi="宋体" w:cs="宋体"/>
          <w:b/>
          <w:bCs/>
          <w:color w:val="auto"/>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ascii="宋体" w:hAnsi="宋体" w:cs="宋体"/>
          <w:b/>
          <w:bCs/>
          <w:color w:val="auto"/>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color w:val="auto"/>
          <w:sz w:val="24"/>
          <w:highlight w:val="none"/>
        </w:rPr>
        <w:t>供应商</w:t>
      </w:r>
      <w:r>
        <w:rPr>
          <w:rFonts w:hint="eastAsia" w:ascii="宋体" w:hAnsi="宋体" w:cs="宋体"/>
          <w:color w:val="auto"/>
          <w:sz w:val="24"/>
          <w:highlight w:val="none"/>
        </w:rPr>
        <w:t>法定名称章（印模）                供应商“XX专用章”（印模）</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kern w:val="0"/>
          <w:sz w:val="32"/>
          <w:szCs w:val="32"/>
          <w:highlight w:val="none"/>
          <w:lang w:val="zh-CN"/>
        </w:rPr>
      </w:pPr>
      <w:r>
        <w:rPr>
          <w:rFonts w:hint="eastAsia" w:ascii="宋体" w:hAnsi="宋体" w:cs="宋体"/>
          <w:b/>
          <w:color w:val="auto"/>
          <w:spacing w:val="6"/>
          <w:sz w:val="32"/>
          <w:szCs w:val="32"/>
          <w:highlight w:val="none"/>
        </w:rPr>
        <w:t>附件</w:t>
      </w:r>
      <w:r>
        <w:rPr>
          <w:rFonts w:ascii="宋体" w:hAnsi="宋体" w:cs="宋体"/>
          <w:b/>
          <w:color w:val="auto"/>
          <w:spacing w:val="6"/>
          <w:sz w:val="32"/>
          <w:szCs w:val="32"/>
          <w:highlight w:val="none"/>
        </w:rPr>
        <w:t>5</w:t>
      </w:r>
      <w:r>
        <w:rPr>
          <w:rFonts w:hint="eastAsia" w:ascii="宋体" w:hAnsi="宋体" w:cs="宋体"/>
          <w:b/>
          <w:color w:val="auto"/>
          <w:spacing w:val="6"/>
          <w:sz w:val="32"/>
          <w:szCs w:val="32"/>
          <w:highlight w:val="none"/>
        </w:rPr>
        <w:t>：</w:t>
      </w:r>
      <w:r>
        <w:rPr>
          <w:rFonts w:hint="eastAsia" w:ascii="宋体" w:hAnsi="宋体" w:cs="宋体"/>
          <w:b/>
          <w:color w:val="auto"/>
          <w:kern w:val="0"/>
          <w:sz w:val="32"/>
          <w:szCs w:val="32"/>
          <w:highlight w:val="none"/>
          <w:lang w:val="zh-CN"/>
        </w:rPr>
        <w:t>联合协议</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（以联合体形式参与的，提供联合协议；本项目不接受联合体或者供应商不以联合体形式参与的，则不需要提供）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（联合体所有成员名称）</w:t>
      </w:r>
      <w:r>
        <w:rPr>
          <w:rFonts w:hint="eastAsia" w:ascii="宋体" w:hAnsi="宋体" w:cs="宋体"/>
          <w:color w:val="auto"/>
          <w:kern w:val="0"/>
          <w:sz w:val="24"/>
          <w:highlight w:val="none"/>
        </w:rPr>
        <w:t>自愿</w:t>
      </w:r>
      <w:r>
        <w:rPr>
          <w:rFonts w:hint="eastAsia" w:ascii="宋体" w:hAnsi="宋体" w:cs="宋体"/>
          <w:color w:val="auto"/>
          <w:kern w:val="0"/>
          <w:sz w:val="24"/>
          <w:highlight w:val="none"/>
          <w:lang w:val="zh-CN"/>
        </w:rPr>
        <w:t>组成一个联合体，以一个供应商的身份</w:t>
      </w:r>
      <w:r>
        <w:rPr>
          <w:rFonts w:hint="eastAsia" w:ascii="宋体" w:hAnsi="宋体" w:cs="宋体"/>
          <w:color w:val="auto"/>
          <w:kern w:val="0"/>
          <w:sz w:val="24"/>
          <w:highlight w:val="none"/>
        </w:rPr>
        <w:t>参加</w:t>
      </w:r>
      <w:r>
        <w:rPr>
          <w:rFonts w:hint="eastAsia" w:ascii="宋体" w:hAnsi="宋体" w:cs="宋体"/>
          <w:color w:val="auto"/>
          <w:sz w:val="24"/>
          <w:highlight w:val="none"/>
        </w:rPr>
        <w:t>（项目名称）【项目编号：（采购编号）】</w:t>
      </w:r>
      <w:r>
        <w:rPr>
          <w:rFonts w:hint="eastAsia" w:ascii="宋体" w:hAnsi="宋体" w:cs="宋体"/>
          <w:color w:val="auto"/>
          <w:kern w:val="0"/>
          <w:sz w:val="24"/>
          <w:highlight w:val="none"/>
        </w:rPr>
        <w:t>响应</w:t>
      </w:r>
      <w:r>
        <w:rPr>
          <w:rFonts w:hint="eastAsia" w:ascii="宋体" w:hAnsi="宋体" w:cs="宋体"/>
          <w:color w:val="auto"/>
          <w:kern w:val="0"/>
          <w:sz w:val="24"/>
          <w:highlight w:val="none"/>
          <w:lang w:val="zh-CN"/>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一、各方一致决定，</w:t>
      </w:r>
      <w:r>
        <w:rPr>
          <w:rFonts w:hint="eastAsia" w:ascii="宋体" w:hAnsi="宋体" w:cs="宋体"/>
          <w:color w:val="auto"/>
          <w:kern w:val="0"/>
          <w:sz w:val="24"/>
          <w:highlight w:val="none"/>
          <w:u w:val="single"/>
        </w:rPr>
        <w:t>（某联合体成员名称）</w:t>
      </w:r>
      <w:r>
        <w:rPr>
          <w:rFonts w:hint="eastAsia" w:ascii="宋体" w:hAnsi="宋体" w:cs="宋体"/>
          <w:color w:val="auto"/>
          <w:kern w:val="0"/>
          <w:sz w:val="24"/>
          <w:highlight w:val="none"/>
        </w:rPr>
        <w:t>为联合体</w:t>
      </w:r>
      <w:r>
        <w:rPr>
          <w:rFonts w:hint="eastAsia" w:ascii="宋体" w:hAnsi="宋体" w:cs="宋体"/>
          <w:color w:val="auto"/>
          <w:kern w:val="0"/>
          <w:sz w:val="24"/>
          <w:highlight w:val="none"/>
          <w:lang w:val="zh-CN"/>
        </w:rPr>
        <w:t>牵头人</w:t>
      </w:r>
      <w:r>
        <w:rPr>
          <w:rFonts w:hint="eastAsia" w:ascii="宋体" w:hAnsi="宋体" w:cs="宋体"/>
          <w:color w:val="auto"/>
          <w:sz w:val="24"/>
          <w:highlight w:val="none"/>
        </w:rPr>
        <w:t>，代表所有联合体成员负责投标和合同实施阶段的主办、协调工作</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w:t>
      </w:r>
      <w:r>
        <w:rPr>
          <w:rFonts w:hint="eastAsia" w:ascii="宋体" w:hAnsi="宋体" w:cs="宋体"/>
          <w:color w:val="auto"/>
          <w:sz w:val="24"/>
          <w:highlight w:val="none"/>
        </w:rPr>
        <w:t>所有联合体成员各方签署授权书，授权书载明的</w:t>
      </w:r>
      <w:r>
        <w:rPr>
          <w:rFonts w:hint="eastAsia" w:ascii="宋体" w:hAnsi="宋体" w:cs="宋体"/>
          <w:color w:val="auto"/>
          <w:kern w:val="0"/>
          <w:sz w:val="24"/>
          <w:highlight w:val="none"/>
          <w:lang w:val="zh-CN"/>
        </w:rPr>
        <w:t>授权代表根据采购文件规定及</w:t>
      </w:r>
      <w:r>
        <w:rPr>
          <w:rFonts w:hint="eastAsia" w:ascii="宋体" w:hAnsi="宋体" w:cs="宋体"/>
          <w:color w:val="auto"/>
          <w:kern w:val="0"/>
          <w:sz w:val="24"/>
          <w:highlight w:val="none"/>
        </w:rPr>
        <w:t>响应内容</w:t>
      </w:r>
      <w:r>
        <w:rPr>
          <w:rFonts w:hint="eastAsia" w:ascii="宋体" w:hAnsi="宋体" w:cs="宋体"/>
          <w:color w:val="auto"/>
          <w:kern w:val="0"/>
          <w:sz w:val="24"/>
          <w:highlight w:val="none"/>
          <w:lang w:val="zh-CN"/>
        </w:rPr>
        <w:t>而对采购人、采购代理机构所作的任何合法承诺，包括书面澄清及相应等均对联合投标各方产生约束力。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三、本次联合</w:t>
      </w:r>
      <w:r>
        <w:rPr>
          <w:rFonts w:hint="eastAsia" w:ascii="宋体" w:hAnsi="宋体" w:cs="宋体"/>
          <w:color w:val="auto"/>
          <w:kern w:val="0"/>
          <w:sz w:val="24"/>
          <w:highlight w:val="none"/>
        </w:rPr>
        <w:t>响应</w:t>
      </w:r>
      <w:r>
        <w:rPr>
          <w:rFonts w:hint="eastAsia" w:ascii="宋体" w:hAnsi="宋体" w:cs="宋体"/>
          <w:color w:val="auto"/>
          <w:kern w:val="0"/>
          <w:sz w:val="24"/>
          <w:highlight w:val="none"/>
          <w:lang w:val="zh-CN"/>
        </w:rPr>
        <w:t>中，分工如下：</w:t>
      </w:r>
    </w:p>
    <w:p>
      <w:pPr>
        <w:snapToGrid w:val="0"/>
        <w:spacing w:line="360" w:lineRule="auto"/>
        <w:ind w:firstLine="576"/>
        <w:rPr>
          <w:rFonts w:ascii="宋体" w:hAnsi="宋体" w:cs="宋体"/>
          <w:color w:val="auto"/>
          <w:kern w:val="0"/>
          <w:sz w:val="24"/>
          <w:highlight w:val="none"/>
          <w:lang w:val="zh-CN"/>
        </w:rPr>
      </w:pPr>
      <w:bookmarkStart w:id="444" w:name="_Hlk101134295"/>
      <w:r>
        <w:rPr>
          <w:rFonts w:hint="eastAsia" w:ascii="宋体" w:hAnsi="宋体" w:cs="宋体"/>
          <w:color w:val="auto"/>
          <w:kern w:val="0"/>
          <w:sz w:val="24"/>
          <w:highlight w:val="none"/>
          <w:u w:val="single"/>
        </w:rPr>
        <w:t>（联合体成员1）</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（联合体成员</w:t>
      </w:r>
      <w:r>
        <w:rPr>
          <w:rFonts w:ascii="宋体" w:hAnsi="宋体" w:cs="宋体"/>
          <w:color w:val="auto"/>
          <w:kern w:val="0"/>
          <w:sz w:val="24"/>
          <w:highlight w:val="none"/>
          <w:u w:val="single"/>
        </w:rPr>
        <w:t>2</w:t>
      </w:r>
      <w:r>
        <w:rPr>
          <w:rFonts w:hint="eastAsia" w:ascii="宋体" w:hAnsi="宋体" w:cs="宋体"/>
          <w:color w:val="auto"/>
          <w:kern w:val="0"/>
          <w:sz w:val="24"/>
          <w:highlight w:val="none"/>
          <w:u w:val="single"/>
        </w:rPr>
        <w:t>）</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w:t>
      </w:r>
    </w:p>
    <w:bookmarkEnd w:id="444"/>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四、联合体成员中小企业合同份额。</w:t>
      </w:r>
    </w:p>
    <w:p>
      <w:pPr>
        <w:snapToGrid w:val="0"/>
        <w:spacing w:line="360" w:lineRule="auto"/>
        <w:ind w:firstLine="576"/>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1、</w:t>
      </w:r>
      <w:r>
        <w:rPr>
          <w:rFonts w:hint="eastAsia" w:ascii="宋体" w:hAnsi="宋体" w:cs="宋体"/>
          <w:color w:val="auto"/>
          <w:kern w:val="0"/>
          <w:sz w:val="24"/>
          <w:highlight w:val="none"/>
          <w:u w:val="single"/>
        </w:rPr>
        <w:t>（联合体成员</w:t>
      </w:r>
      <w:r>
        <w:rPr>
          <w:rFonts w:ascii="宋体" w:hAnsi="宋体" w:cs="宋体"/>
          <w:color w:val="auto"/>
          <w:kern w:val="0"/>
          <w:sz w:val="24"/>
          <w:highlight w:val="none"/>
          <w:u w:val="single"/>
        </w:rPr>
        <w:t>X,</w:t>
      </w:r>
      <w:r>
        <w:rPr>
          <w:rFonts w:hint="eastAsia" w:ascii="宋体" w:hAnsi="宋体" w:cs="宋体"/>
          <w:color w:val="auto"/>
          <w:kern w:val="0"/>
          <w:sz w:val="24"/>
          <w:highlight w:val="none"/>
          <w:u w:val="single"/>
        </w:rPr>
        <w:t>……）</w:t>
      </w:r>
      <w:r>
        <w:rPr>
          <w:rFonts w:hint="eastAsia" w:ascii="宋体" w:hAnsi="宋体" w:cs="宋体"/>
          <w:color w:val="auto"/>
          <w:kern w:val="0"/>
          <w:sz w:val="24"/>
          <w:highlight w:val="none"/>
        </w:rPr>
        <w:t>提供的全部工程由小微企业承建，其合同份额占到合同总金额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kern w:val="0"/>
          <w:sz w:val="24"/>
          <w:highlight w:val="none"/>
          <w:lang w:val="zh-CN"/>
        </w:rPr>
        <w:t>……。</w:t>
      </w:r>
      <w:r>
        <w:rPr>
          <w:rFonts w:hint="eastAsia" w:ascii="宋体" w:hAnsi="宋体" w:cs="宋体"/>
          <w:b/>
          <w:color w:val="auto"/>
          <w:kern w:val="0"/>
          <w:sz w:val="24"/>
          <w:highlight w:val="none"/>
          <w:lang w:val="zh-CN"/>
        </w:rPr>
        <w:t>（未预留份额专门面向中小企业采购的采购项目，以及预留份额中的非预留部分采购包，接受联合体</w:t>
      </w:r>
      <w:r>
        <w:rPr>
          <w:rFonts w:hint="eastAsia" w:ascii="宋体" w:hAnsi="宋体" w:cs="宋体"/>
          <w:b/>
          <w:color w:val="auto"/>
          <w:kern w:val="0"/>
          <w:sz w:val="24"/>
          <w:highlight w:val="none"/>
        </w:rPr>
        <w:t>磋商</w:t>
      </w:r>
      <w:r>
        <w:rPr>
          <w:rFonts w:hint="eastAsia" w:ascii="宋体" w:hAnsi="宋体" w:cs="宋体"/>
          <w:b/>
          <w:color w:val="auto"/>
          <w:kern w:val="0"/>
          <w:sz w:val="24"/>
          <w:highlight w:val="none"/>
          <w:lang w:val="zh-CN"/>
        </w:rPr>
        <w:t>的，联合协议约定小微企业的合同份额占到合同总金额30%以上的，对联合体报价给予</w:t>
      </w:r>
      <w:r>
        <w:rPr>
          <w:rFonts w:hint="eastAsia" w:ascii="宋体" w:hAnsi="宋体" w:cs="宋体"/>
          <w:b/>
          <w:color w:val="auto"/>
          <w:kern w:val="0"/>
          <w:sz w:val="24"/>
          <w:highlight w:val="none"/>
        </w:rPr>
        <w:t>2</w:t>
      </w:r>
      <w:r>
        <w:rPr>
          <w:rFonts w:hint="eastAsia" w:ascii="宋体" w:hAnsi="宋体" w:cs="宋体"/>
          <w:b/>
          <w:color w:val="auto"/>
          <w:kern w:val="0"/>
          <w:sz w:val="24"/>
          <w:highlight w:val="none"/>
          <w:lang w:val="zh-CN"/>
        </w:rPr>
        <w:t>%的扣除。供应商</w:t>
      </w:r>
      <w:r>
        <w:rPr>
          <w:rFonts w:hint="eastAsia" w:ascii="宋体" w:hAnsi="宋体" w:cs="宋体"/>
          <w:b/>
          <w:color w:val="auto"/>
          <w:sz w:val="24"/>
          <w:highlight w:val="none"/>
        </w:rPr>
        <w:t>拟享受以上价格扣除政策的，填写有关内容。</w:t>
      </w:r>
      <w:r>
        <w:rPr>
          <w:rFonts w:hint="eastAsia" w:ascii="宋体" w:hAnsi="宋体" w:cs="宋体"/>
          <w:b/>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sz w:val="24"/>
          <w:highlight w:val="none"/>
        </w:rPr>
        <w:t>2、中小企业合同金额达到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%，其中小微企业合同金额达到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要求以联合体形式参加的项目或采购包，供应商按采购文件第一部分竞争性磋商公告申请人的资格要求中规定的联合协议中中小企业、小微企业合同金额应当达到的比例要求填写。</w:t>
      </w:r>
      <w:r>
        <w:rPr>
          <w:rFonts w:hint="eastAsia" w:ascii="宋体" w:hAnsi="宋体" w:cs="宋体"/>
          <w:b/>
          <w:bCs/>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五、如果成交，</w:t>
      </w:r>
      <w:r>
        <w:rPr>
          <w:rFonts w:hint="eastAsia" w:ascii="宋体" w:hAnsi="宋体" w:cs="宋体"/>
          <w:color w:val="auto"/>
          <w:sz w:val="24"/>
          <w:highlight w:val="none"/>
        </w:rPr>
        <w:t>联合体各成员方共同与采购人签订合同，并就采购合同约定的事项对采购人承担连带责任。</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六、有关本次联合</w:t>
      </w:r>
      <w:r>
        <w:rPr>
          <w:rFonts w:hint="eastAsia" w:ascii="宋体" w:hAnsi="宋体" w:cs="宋体"/>
          <w:color w:val="auto"/>
          <w:kern w:val="0"/>
          <w:sz w:val="24"/>
          <w:highlight w:val="none"/>
        </w:rPr>
        <w:t>响应</w:t>
      </w:r>
      <w:r>
        <w:rPr>
          <w:rFonts w:hint="eastAsia" w:ascii="宋体" w:hAnsi="宋体" w:cs="宋体"/>
          <w:color w:val="auto"/>
          <w:kern w:val="0"/>
          <w:sz w:val="24"/>
          <w:highlight w:val="none"/>
          <w:lang w:val="zh-CN"/>
        </w:rPr>
        <w:t>的其他事宜：</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autoSpaceDE w:val="0"/>
        <w:autoSpaceDN w:val="0"/>
        <w:jc w:val="center"/>
        <w:rPr>
          <w:rFonts w:ascii="宋体" w:hAnsi="宋体" w:cs="宋体"/>
          <w:b/>
          <w:color w:val="auto"/>
          <w:spacing w:val="6"/>
          <w:sz w:val="32"/>
          <w:szCs w:val="32"/>
          <w:highlight w:val="none"/>
        </w:rPr>
        <w:sectPr>
          <w:pgSz w:w="11906" w:h="16838"/>
          <w:pgMar w:top="1440" w:right="1080" w:bottom="1440" w:left="1080" w:header="851" w:footer="992" w:gutter="0"/>
          <w:cols w:space="720" w:num="1"/>
          <w:titlePg/>
          <w:docGrid w:linePitch="312" w:charSpace="0"/>
        </w:sectPr>
      </w:pPr>
    </w:p>
    <w:p>
      <w:pPr>
        <w:snapToGrid w:val="0"/>
        <w:spacing w:line="360" w:lineRule="auto"/>
        <w:jc w:val="center"/>
        <w:rPr>
          <w:rFonts w:ascii="宋体" w:hAnsi="宋体" w:cs="宋体"/>
          <w:b/>
          <w:color w:val="auto"/>
          <w:kern w:val="0"/>
          <w:sz w:val="32"/>
          <w:szCs w:val="32"/>
          <w:highlight w:val="none"/>
        </w:rPr>
      </w:pPr>
      <w:r>
        <w:rPr>
          <w:rFonts w:hint="eastAsia" w:ascii="宋体" w:hAnsi="宋体" w:cs="宋体"/>
          <w:b/>
          <w:color w:val="auto"/>
          <w:spacing w:val="6"/>
          <w:sz w:val="32"/>
          <w:szCs w:val="32"/>
          <w:highlight w:val="none"/>
        </w:rPr>
        <w:t>附件</w:t>
      </w:r>
      <w:r>
        <w:rPr>
          <w:rFonts w:ascii="宋体" w:hAnsi="宋体" w:cs="宋体"/>
          <w:b/>
          <w:color w:val="auto"/>
          <w:spacing w:val="6"/>
          <w:sz w:val="32"/>
          <w:szCs w:val="32"/>
          <w:highlight w:val="none"/>
        </w:rPr>
        <w:t>6</w:t>
      </w:r>
      <w:r>
        <w:rPr>
          <w:rFonts w:hint="eastAsia" w:ascii="宋体" w:hAnsi="宋体" w:cs="宋体"/>
          <w:b/>
          <w:color w:val="auto"/>
          <w:spacing w:val="6"/>
          <w:sz w:val="32"/>
          <w:szCs w:val="32"/>
          <w:highlight w:val="none"/>
        </w:rPr>
        <w:t>：</w:t>
      </w:r>
      <w:r>
        <w:rPr>
          <w:rFonts w:hint="eastAsia" w:ascii="宋体" w:hAnsi="宋体" w:cs="宋体"/>
          <w:b/>
          <w:color w:val="auto"/>
          <w:kern w:val="0"/>
          <w:sz w:val="32"/>
          <w:szCs w:val="32"/>
          <w:highlight w:val="none"/>
        </w:rPr>
        <w:t>分包意向协议</w:t>
      </w:r>
    </w:p>
    <w:p>
      <w:pPr>
        <w:widowControl/>
        <w:spacing w:line="360" w:lineRule="auto"/>
        <w:ind w:firstLine="120" w:firstLineChars="50"/>
        <w:jc w:val="left"/>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成交后以分包方式履行合同的，提供分包意向协议；采购人不同意分包或者供应商成交后不以分包方式履行合同的，则不需要提供。</w:t>
      </w:r>
      <w:r>
        <w:rPr>
          <w:rFonts w:hint="eastAsia" w:ascii="宋体" w:hAnsi="宋体" w:cs="宋体"/>
          <w:color w:val="auto"/>
          <w:sz w:val="24"/>
          <w:highlight w:val="none"/>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（供应商名称）</w:t>
      </w:r>
      <w:r>
        <w:rPr>
          <w:rFonts w:hint="eastAsia" w:ascii="宋体" w:hAnsi="宋体" w:cs="宋体"/>
          <w:color w:val="auto"/>
          <w:kern w:val="0"/>
          <w:sz w:val="24"/>
          <w:highlight w:val="none"/>
          <w:lang w:val="zh-CN"/>
        </w:rPr>
        <w:t>若成为</w:t>
      </w:r>
      <w:r>
        <w:rPr>
          <w:rFonts w:hint="eastAsia" w:ascii="宋体" w:hAnsi="宋体" w:cs="宋体"/>
          <w:color w:val="auto"/>
          <w:sz w:val="24"/>
          <w:highlight w:val="none"/>
        </w:rPr>
        <w:t>（项目名称）【项目编号：（采购编号）】</w:t>
      </w:r>
      <w:r>
        <w:rPr>
          <w:rFonts w:hint="eastAsia" w:ascii="宋体" w:hAnsi="宋体" w:cs="宋体"/>
          <w:color w:val="auto"/>
          <w:kern w:val="0"/>
          <w:sz w:val="24"/>
          <w:highlight w:val="none"/>
          <w:lang w:val="zh-CN"/>
        </w:rPr>
        <w:t>的成交供应商，将依法采取分包方式履行合同。</w:t>
      </w:r>
      <w:r>
        <w:rPr>
          <w:rFonts w:hint="eastAsia" w:ascii="宋体" w:hAnsi="宋体" w:cs="宋体"/>
          <w:color w:val="auto"/>
          <w:kern w:val="0"/>
          <w:sz w:val="24"/>
          <w:highlight w:val="none"/>
          <w:u w:val="single"/>
        </w:rPr>
        <w:t>（供应商名称）</w:t>
      </w:r>
      <w:r>
        <w:rPr>
          <w:rFonts w:hint="eastAsia" w:ascii="宋体" w:hAnsi="宋体" w:cs="宋体"/>
          <w:color w:val="auto"/>
          <w:kern w:val="0"/>
          <w:sz w:val="24"/>
          <w:highlight w:val="none"/>
        </w:rPr>
        <w:t>与</w:t>
      </w:r>
      <w:r>
        <w:rPr>
          <w:rFonts w:hint="eastAsia" w:ascii="宋体" w:hAnsi="宋体" w:cs="宋体"/>
          <w:color w:val="auto"/>
          <w:kern w:val="0"/>
          <w:sz w:val="24"/>
          <w:highlight w:val="none"/>
          <w:u w:val="single"/>
        </w:rPr>
        <w:t>（所有分包供应商名称）</w:t>
      </w:r>
      <w:r>
        <w:rPr>
          <w:rFonts w:hint="eastAsia" w:ascii="宋体" w:hAnsi="宋体" w:cs="宋体"/>
          <w:color w:val="auto"/>
          <w:kern w:val="0"/>
          <w:sz w:val="24"/>
          <w:highlight w:val="none"/>
        </w:rPr>
        <w:t>达成分包意向协议</w:t>
      </w:r>
      <w:r>
        <w:rPr>
          <w:rFonts w:hint="eastAsia" w:ascii="宋体" w:hAnsi="宋体" w:cs="宋体"/>
          <w:color w:val="auto"/>
          <w:kern w:val="0"/>
          <w:sz w:val="24"/>
          <w:highlight w:val="none"/>
          <w:lang w:val="zh-CN"/>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一、分包标的及数量</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（供应商名称）</w:t>
      </w:r>
      <w:r>
        <w:rPr>
          <w:rFonts w:hint="eastAsia" w:ascii="宋体" w:hAnsi="宋体" w:cs="宋体"/>
          <w:color w:val="auto"/>
          <w:kern w:val="0"/>
          <w:sz w:val="24"/>
          <w:highlight w:val="none"/>
          <w:lang w:val="zh-CN"/>
        </w:rPr>
        <w:t>将</w:t>
      </w:r>
      <w:r>
        <w:rPr>
          <w:rFonts w:hint="eastAsia" w:ascii="宋体" w:hAnsi="宋体" w:cs="宋体"/>
          <w:color w:val="auto"/>
          <w:highlight w:val="none"/>
          <w:u w:val="single"/>
        </w:rPr>
        <w:t xml:space="preserve"> </w:t>
      </w:r>
      <w:r>
        <w:rPr>
          <w:rFonts w:ascii="宋体" w:hAnsi="宋体" w:cs="宋体"/>
          <w:color w:val="auto"/>
          <w:kern w:val="0"/>
          <w:sz w:val="24"/>
          <w:highlight w:val="none"/>
          <w:u w:val="single"/>
        </w:rPr>
        <w:t xml:space="preserve">  XX工作内容   </w:t>
      </w:r>
      <w:r>
        <w:rPr>
          <w:rFonts w:hint="eastAsia" w:ascii="宋体" w:hAnsi="宋体" w:cs="宋体"/>
          <w:color w:val="auto"/>
          <w:sz w:val="24"/>
          <w:highlight w:val="none"/>
        </w:rPr>
        <w:t>分包给</w:t>
      </w:r>
      <w:r>
        <w:rPr>
          <w:rFonts w:hint="eastAsia" w:ascii="宋体" w:hAnsi="宋体" w:cs="宋体"/>
          <w:color w:val="auto"/>
          <w:kern w:val="0"/>
          <w:sz w:val="24"/>
          <w:highlight w:val="none"/>
          <w:u w:val="single"/>
        </w:rPr>
        <w:t>（分包供应商1名称）</w:t>
      </w:r>
      <w:r>
        <w:rPr>
          <w:rFonts w:hint="eastAsia" w:ascii="宋体" w:hAnsi="宋体" w:cs="宋体"/>
          <w:color w:val="auto"/>
          <w:kern w:val="0"/>
          <w:sz w:val="24"/>
          <w:highlight w:val="none"/>
          <w:lang w:val="zh-CN"/>
        </w:rPr>
        <w:t>，</w:t>
      </w:r>
      <w:r>
        <w:rPr>
          <w:rFonts w:hint="eastAsia" w:ascii="宋体" w:hAnsi="宋体" w:cs="宋体"/>
          <w:color w:val="auto"/>
          <w:kern w:val="0"/>
          <w:sz w:val="24"/>
          <w:highlight w:val="none"/>
          <w:u w:val="single"/>
        </w:rPr>
        <w:t>（分包供应商1名称），</w:t>
      </w:r>
      <w:r>
        <w:rPr>
          <w:rFonts w:hint="eastAsia" w:ascii="宋体" w:hAnsi="宋体" w:cs="宋体"/>
          <w:color w:val="auto"/>
          <w:kern w:val="0"/>
          <w:sz w:val="24"/>
          <w:highlight w:val="none"/>
          <w:lang w:val="zh-CN"/>
        </w:rPr>
        <w:t>具备承</w:t>
      </w:r>
      <w:r>
        <w:rPr>
          <w:rFonts w:hint="eastAsia" w:ascii="宋体" w:hAnsi="宋体" w:cs="宋体"/>
          <w:color w:val="auto"/>
          <w:kern w:val="0"/>
          <w:sz w:val="24"/>
          <w:highlight w:val="none"/>
        </w:rPr>
        <w:t>担</w:t>
      </w:r>
      <w:r>
        <w:rPr>
          <w:rFonts w:hint="eastAsia" w:ascii="宋体" w:hAnsi="宋体" w:cs="宋体"/>
          <w:color w:val="auto"/>
          <w:kern w:val="0"/>
          <w:sz w:val="24"/>
          <w:highlight w:val="none"/>
          <w:u w:val="single"/>
          <w:lang w:val="zh-CN"/>
        </w:rPr>
        <w:t>XX工作内容</w:t>
      </w:r>
      <w:r>
        <w:rPr>
          <w:rFonts w:hint="eastAsia" w:ascii="宋体" w:hAnsi="宋体" w:cs="宋体"/>
          <w:color w:val="auto"/>
          <w:kern w:val="0"/>
          <w:sz w:val="24"/>
          <w:highlight w:val="none"/>
          <w:lang w:val="zh-CN"/>
        </w:rPr>
        <w:t>相应资质条件且不得再次分包；</w:t>
      </w:r>
    </w:p>
    <w:p>
      <w:pPr>
        <w:pStyle w:val="3"/>
        <w:ind w:left="664" w:leftChars="316" w:firstLine="229" w:firstLineChars="95"/>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二、分包供应商</w:t>
      </w:r>
      <w:r>
        <w:rPr>
          <w:rFonts w:hint="eastAsia" w:ascii="宋体" w:hAnsi="宋体" w:cs="宋体"/>
          <w:color w:val="auto"/>
          <w:kern w:val="0"/>
          <w:sz w:val="24"/>
          <w:highlight w:val="none"/>
          <w:lang w:val="zh-CN"/>
        </w:rPr>
        <w:t>中小企业合同份额</w:t>
      </w:r>
    </w:p>
    <w:p>
      <w:pPr>
        <w:snapToGrid w:val="0"/>
        <w:spacing w:line="360" w:lineRule="auto"/>
        <w:ind w:firstLine="576"/>
        <w:rPr>
          <w:rFonts w:ascii="宋体" w:hAnsi="宋体" w:cs="宋体"/>
          <w:b/>
          <w:color w:val="auto"/>
          <w:kern w:val="0"/>
          <w:sz w:val="24"/>
          <w:highlight w:val="none"/>
          <w:lang w:val="zh-CN"/>
        </w:rPr>
      </w:pPr>
      <w:r>
        <w:rPr>
          <w:rFonts w:ascii="宋体" w:hAnsi="宋体" w:cs="宋体"/>
          <w:color w:val="auto"/>
          <w:kern w:val="0"/>
          <w:sz w:val="24"/>
          <w:highlight w:val="none"/>
        </w:rPr>
        <w:t>1、</w:t>
      </w:r>
      <w:r>
        <w:rPr>
          <w:rFonts w:hint="eastAsia" w:ascii="宋体" w:hAnsi="宋体" w:cs="宋体"/>
          <w:color w:val="auto"/>
          <w:kern w:val="0"/>
          <w:sz w:val="24"/>
          <w:highlight w:val="none"/>
          <w:u w:val="single"/>
        </w:rPr>
        <w:t>（分包供应商X</w:t>
      </w:r>
      <w:r>
        <w:rPr>
          <w:rFonts w:ascii="宋体" w:hAnsi="宋体" w:cs="宋体"/>
          <w:color w:val="auto"/>
          <w:kern w:val="0"/>
          <w:sz w:val="24"/>
          <w:highlight w:val="none"/>
          <w:u w:val="single"/>
        </w:rPr>
        <w:t>,</w:t>
      </w:r>
      <w:r>
        <w:rPr>
          <w:rFonts w:hint="eastAsia" w:ascii="宋体" w:hAnsi="宋体" w:cs="宋体"/>
          <w:color w:val="auto"/>
          <w:kern w:val="0"/>
          <w:sz w:val="24"/>
          <w:highlight w:val="none"/>
          <w:u w:val="single"/>
        </w:rPr>
        <w:t>……）提供的工程全部由小微企业承建，</w:t>
      </w:r>
      <w:r>
        <w:rPr>
          <w:rFonts w:hint="eastAsia" w:ascii="宋体" w:hAnsi="宋体" w:cs="宋体"/>
          <w:color w:val="auto"/>
          <w:kern w:val="0"/>
          <w:sz w:val="24"/>
          <w:highlight w:val="none"/>
        </w:rPr>
        <w:t>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highlight w:val="none"/>
        </w:rPr>
        <w:t>。</w:t>
      </w:r>
      <w:r>
        <w:rPr>
          <w:rFonts w:hint="eastAsia" w:ascii="宋体" w:hAnsi="宋体" w:cs="宋体"/>
          <w:b/>
          <w:color w:val="auto"/>
          <w:kern w:val="0"/>
          <w:sz w:val="24"/>
          <w:highlight w:val="none"/>
          <w:lang w:val="zh-CN"/>
        </w:rPr>
        <w:t>（未预留份额专门面向中小企业采购的采购项目，以及预留份额中的非预留部分采购包，允许分包的，分包意向协议约定小微企业的合同份额占到合同总金额30%以上的，对大中型企业的报价给予</w:t>
      </w:r>
      <w:r>
        <w:rPr>
          <w:rFonts w:hint="eastAsia" w:ascii="宋体" w:hAnsi="宋体" w:cs="宋体"/>
          <w:b/>
          <w:color w:val="auto"/>
          <w:kern w:val="0"/>
          <w:sz w:val="24"/>
          <w:highlight w:val="none"/>
        </w:rPr>
        <w:t>2</w:t>
      </w:r>
      <w:r>
        <w:rPr>
          <w:rFonts w:hint="eastAsia" w:ascii="宋体" w:hAnsi="宋体" w:cs="宋体"/>
          <w:b/>
          <w:color w:val="auto"/>
          <w:kern w:val="0"/>
          <w:sz w:val="24"/>
          <w:highlight w:val="none"/>
          <w:lang w:val="zh-CN"/>
        </w:rPr>
        <w:t>%的扣除。供应商</w:t>
      </w:r>
      <w:r>
        <w:rPr>
          <w:rFonts w:hint="eastAsia" w:ascii="宋体" w:hAnsi="宋体" w:cs="宋体"/>
          <w:b/>
          <w:color w:val="auto"/>
          <w:sz w:val="24"/>
          <w:highlight w:val="none"/>
        </w:rPr>
        <w:t>拟享受以上价格扣除政策的，填写有关内容。</w:t>
      </w:r>
      <w:r>
        <w:rPr>
          <w:rFonts w:hint="eastAsia" w:ascii="宋体" w:hAnsi="宋体" w:cs="宋体"/>
          <w:b/>
          <w:color w:val="auto"/>
          <w:kern w:val="0"/>
          <w:sz w:val="24"/>
          <w:highlight w:val="none"/>
          <w:lang w:val="zh-CN"/>
        </w:rPr>
        <w:t>）</w:t>
      </w:r>
    </w:p>
    <w:p>
      <w:pPr>
        <w:spacing w:line="360" w:lineRule="auto"/>
        <w:ind w:firstLine="480" w:firstLineChars="200"/>
        <w:rPr>
          <w:rFonts w:ascii="宋体" w:hAnsi="宋体" w:cs="宋体"/>
          <w:b/>
          <w:bCs/>
          <w:color w:val="auto"/>
          <w:kern w:val="0"/>
          <w:sz w:val="24"/>
          <w:highlight w:val="none"/>
          <w:lang w:val="zh-CN"/>
        </w:rPr>
      </w:pPr>
      <w:r>
        <w:rPr>
          <w:rFonts w:hint="eastAsia" w:ascii="宋体" w:hAnsi="宋体" w:cs="宋体"/>
          <w:color w:val="auto"/>
          <w:sz w:val="24"/>
          <w:highlight w:val="none"/>
        </w:rPr>
        <w:t>2、</w:t>
      </w:r>
      <w:bookmarkStart w:id="445" w:name="_Hlk101133173"/>
      <w:r>
        <w:rPr>
          <w:rFonts w:hint="eastAsia" w:ascii="宋体" w:hAnsi="宋体" w:cs="宋体"/>
          <w:color w:val="auto"/>
          <w:sz w:val="24"/>
          <w:highlight w:val="none"/>
        </w:rPr>
        <w:t>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%，其中小微企业合同金额达到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要求合同分包形式参加的项目或采购包，供应商按采购文件第一部分竞争性磋商公告申请人的资格要求中规定的</w:t>
      </w:r>
      <w:r>
        <w:rPr>
          <w:rFonts w:hint="eastAsia" w:ascii="宋体" w:hAnsi="宋体" w:cs="宋体"/>
          <w:b/>
          <w:color w:val="auto"/>
          <w:kern w:val="0"/>
          <w:sz w:val="24"/>
          <w:highlight w:val="none"/>
          <w:lang w:val="zh-CN"/>
        </w:rPr>
        <w:t>分包意向协议</w:t>
      </w:r>
      <w:r>
        <w:rPr>
          <w:rFonts w:hint="eastAsia" w:ascii="宋体" w:hAnsi="宋体" w:cs="宋体"/>
          <w:b/>
          <w:bCs/>
          <w:color w:val="auto"/>
          <w:sz w:val="24"/>
          <w:highlight w:val="none"/>
        </w:rPr>
        <w:t>中中小企业、小微企业合同金额应当达到的比例要求填写。</w:t>
      </w:r>
      <w:r>
        <w:rPr>
          <w:rFonts w:hint="eastAsia" w:ascii="宋体" w:hAnsi="宋体" w:cs="宋体"/>
          <w:b/>
          <w:bCs/>
          <w:color w:val="auto"/>
          <w:kern w:val="0"/>
          <w:sz w:val="24"/>
          <w:highlight w:val="none"/>
          <w:lang w:val="zh-CN"/>
        </w:rPr>
        <w:t>）</w:t>
      </w:r>
      <w:bookmarkEnd w:id="445"/>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三、分包工作履行期限、地点、方式</w:t>
      </w:r>
    </w:p>
    <w:p>
      <w:pPr>
        <w:snapToGrid w:val="0"/>
        <w:spacing w:line="360" w:lineRule="auto"/>
        <w:ind w:firstLine="576"/>
        <w:rPr>
          <w:rFonts w:ascii="宋体" w:hAnsi="宋体" w:cs="宋体"/>
          <w:color w:val="auto"/>
          <w:highlight w:val="none"/>
          <w:u w:val="single"/>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四、质量</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五、价款或者报酬</w:t>
      </w:r>
    </w:p>
    <w:p>
      <w:pPr>
        <w:snapToGrid w:val="0"/>
        <w:spacing w:line="360" w:lineRule="auto"/>
        <w:ind w:left="573" w:leftChars="273"/>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left="573" w:leftChars="273"/>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六、违约责任</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七、争议解决的办法</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left="5758" w:leftChars="342" w:hanging="5040" w:hanging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供应商名称(电子签名)：</w:t>
      </w:r>
    </w:p>
    <w:p>
      <w:pPr>
        <w:snapToGrid w:val="0"/>
        <w:spacing w:line="360" w:lineRule="auto"/>
        <w:ind w:firstLine="5640" w:firstLineChars="235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分包供应商名称：</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pacing w:line="360"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sectPr>
          <w:pgSz w:w="11906" w:h="16838"/>
          <w:pgMar w:top="1440" w:right="1080" w:bottom="1440" w:left="1080" w:header="851" w:footer="992" w:gutter="0"/>
          <w:cols w:space="720" w:num="1"/>
          <w:titlePg/>
          <w:docGrid w:linePitch="312" w:charSpace="0"/>
        </w:sectPr>
      </w:pPr>
    </w:p>
    <w:p>
      <w:pPr>
        <w:autoSpaceDE w:val="0"/>
        <w:autoSpaceDN w:val="0"/>
        <w:jc w:val="center"/>
        <w:rPr>
          <w:rFonts w:ascii="宋体" w:hAnsi="宋体" w:cs="宋体"/>
          <w:b/>
          <w:bCs/>
          <w:color w:val="auto"/>
          <w:sz w:val="32"/>
          <w:szCs w:val="32"/>
          <w:highlight w:val="none"/>
        </w:rPr>
      </w:pPr>
      <w:r>
        <w:rPr>
          <w:rFonts w:hint="eastAsia" w:ascii="宋体" w:hAnsi="宋体" w:cs="宋体"/>
          <w:b/>
          <w:color w:val="auto"/>
          <w:spacing w:val="6"/>
          <w:sz w:val="32"/>
          <w:szCs w:val="32"/>
          <w:highlight w:val="none"/>
        </w:rPr>
        <w:t>附件</w:t>
      </w:r>
      <w:r>
        <w:rPr>
          <w:rFonts w:ascii="宋体" w:hAnsi="宋体" w:cs="宋体"/>
          <w:b/>
          <w:color w:val="auto"/>
          <w:spacing w:val="6"/>
          <w:sz w:val="32"/>
          <w:szCs w:val="32"/>
          <w:highlight w:val="none"/>
        </w:rPr>
        <w:t>7</w:t>
      </w:r>
      <w:r>
        <w:rPr>
          <w:rFonts w:hint="eastAsia" w:ascii="宋体" w:hAnsi="宋体" w:cs="宋体"/>
          <w:b/>
          <w:color w:val="auto"/>
          <w:spacing w:val="6"/>
          <w:sz w:val="32"/>
          <w:szCs w:val="32"/>
          <w:highlight w:val="none"/>
        </w:rPr>
        <w:t>：</w:t>
      </w:r>
      <w:r>
        <w:rPr>
          <w:rFonts w:hint="eastAsia" w:ascii="宋体" w:hAnsi="宋体" w:cs="宋体"/>
          <w:b/>
          <w:color w:val="auto"/>
          <w:sz w:val="32"/>
          <w:szCs w:val="32"/>
          <w:highlight w:val="none"/>
        </w:rPr>
        <w:t>中小企业声明函</w:t>
      </w:r>
    </w:p>
    <w:p>
      <w:pPr>
        <w:spacing w:line="360" w:lineRule="auto"/>
        <w:jc w:val="center"/>
        <w:rPr>
          <w:rFonts w:ascii="宋体" w:hAnsi="宋体" w:cs="宋体"/>
          <w:color w:val="auto"/>
          <w:sz w:val="24"/>
          <w:highlight w:val="none"/>
          <w:u w:val="single"/>
        </w:rPr>
      </w:pPr>
    </w:p>
    <w:p>
      <w:pPr>
        <w:spacing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中小企业声明函（工程）</w:t>
      </w:r>
    </w:p>
    <w:p>
      <w:pPr>
        <w:spacing w:line="360" w:lineRule="auto"/>
        <w:ind w:firstLine="360" w:firstLineChars="150"/>
        <w:jc w:val="left"/>
        <w:rPr>
          <w:rFonts w:ascii="宋体" w:hAnsi="宋体" w:cs="宋体"/>
          <w:color w:val="auto"/>
          <w:sz w:val="24"/>
          <w:highlight w:val="none"/>
        </w:rPr>
      </w:pPr>
      <w:r>
        <w:rPr>
          <w:rFonts w:hint="eastAsia" w:ascii="宋体" w:hAnsi="宋体" w:cs="宋体"/>
          <w:color w:val="auto"/>
          <w:sz w:val="24"/>
          <w:highlight w:val="none"/>
        </w:rPr>
        <w:t xml:space="preserve">本公司（联合体）郑重声明，根据《政府采购促进中小企业发展管理办法》（财库﹝2020﹞46 号）的规定，本公司（联合体）参加 </w:t>
      </w:r>
      <w:r>
        <w:rPr>
          <w:rFonts w:hint="eastAsia" w:ascii="宋体" w:hAnsi="宋体" w:cs="宋体"/>
          <w:color w:val="auto"/>
          <w:sz w:val="24"/>
          <w:highlight w:val="none"/>
          <w:u w:val="single"/>
        </w:rPr>
        <w:t>（</w:t>
      </w:r>
      <w:r>
        <w:rPr>
          <w:rFonts w:hint="eastAsia" w:ascii="宋体" w:hAnsi="宋体" w:cs="宋体"/>
          <w:color w:val="auto"/>
          <w:sz w:val="24"/>
          <w:highlight w:val="none"/>
          <w:u w:val="single"/>
        </w:rPr>
        <w:t>采购人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的</w:t>
      </w:r>
      <w:r>
        <w:rPr>
          <w:rFonts w:hint="eastAsia" w:ascii="宋体" w:hAnsi="宋体" w:cs="宋体"/>
          <w:color w:val="auto"/>
          <w:sz w:val="24"/>
          <w:highlight w:val="none"/>
          <w:u w:val="single"/>
        </w:rPr>
        <w:t xml:space="preserve"> （项目名称） </w:t>
      </w:r>
      <w:r>
        <w:rPr>
          <w:rFonts w:hint="eastAsia" w:ascii="宋体" w:hAnsi="宋体" w:cs="宋体"/>
          <w:color w:val="auto"/>
          <w:sz w:val="24"/>
          <w:highlight w:val="none"/>
        </w:rPr>
        <w:t>采购活动，工程的施工单位全部为符合政策要求的中小企业（或者：服务全部由符合政策要求的中小企业</w:t>
      </w:r>
      <w:r>
        <w:rPr>
          <w:rFonts w:hint="eastAsia" w:ascii="宋体" w:hAnsi="宋体" w:cs="宋体"/>
          <w:color w:val="auto"/>
          <w:sz w:val="24"/>
          <w:highlight w:val="none"/>
        </w:rPr>
        <w:t>承接</w:t>
      </w:r>
      <w:r>
        <w:rPr>
          <w:rFonts w:hint="eastAsia" w:ascii="宋体" w:hAnsi="宋体" w:cs="宋体"/>
          <w:color w:val="auto"/>
          <w:sz w:val="24"/>
          <w:highlight w:val="none"/>
        </w:rPr>
        <w:t>）。相关企业（含联合体中的中小企业、签订分包意向协议的中小企业）的具体情况如下：</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highlight w:val="none"/>
        </w:rPr>
        <w:t xml:space="preserve"> </w:t>
      </w:r>
      <w:r>
        <w:rPr>
          <w:rFonts w:hint="eastAsia" w:ascii="宋体" w:hAnsi="宋体" w:cs="宋体"/>
          <w:color w:val="auto"/>
          <w:sz w:val="24"/>
          <w:highlight w:val="none"/>
          <w:u w:val="single"/>
        </w:rPr>
        <w:t>（标的名称）</w:t>
      </w:r>
      <w:r>
        <w:rPr>
          <w:rFonts w:hint="eastAsia" w:ascii="宋体" w:hAnsi="宋体" w:cs="宋体"/>
          <w:color w:val="auto"/>
          <w:sz w:val="24"/>
          <w:highlight w:val="none"/>
        </w:rPr>
        <w:t xml:space="preserve">，属于 </w:t>
      </w:r>
      <w:r>
        <w:rPr>
          <w:rFonts w:hint="eastAsia" w:ascii="宋体" w:hAnsi="宋体" w:cs="宋体"/>
          <w:color w:val="auto"/>
          <w:sz w:val="24"/>
          <w:highlight w:val="none"/>
          <w:u w:val="single"/>
        </w:rPr>
        <w:t>（采购文件中明确的所属行业）</w:t>
      </w:r>
      <w:r>
        <w:rPr>
          <w:rFonts w:hint="eastAsia" w:ascii="宋体" w:hAnsi="宋体" w:cs="宋体"/>
          <w:color w:val="auto"/>
          <w:sz w:val="24"/>
          <w:highlight w:val="none"/>
        </w:rPr>
        <w:t xml:space="preserve"> ；承建（承接）企业为 </w:t>
      </w:r>
      <w:r>
        <w:rPr>
          <w:rFonts w:hint="eastAsia" w:ascii="宋体" w:hAnsi="宋体" w:cs="宋体"/>
          <w:color w:val="auto"/>
          <w:sz w:val="24"/>
          <w:highlight w:val="none"/>
          <w:u w:val="single"/>
        </w:rPr>
        <w:t>（企业名称）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 </w:t>
      </w: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highlight w:val="none"/>
        </w:rPr>
        <w:t xml:space="preserve"> </w:t>
      </w:r>
      <w:r>
        <w:rPr>
          <w:rFonts w:hint="eastAsia" w:ascii="宋体" w:hAnsi="宋体" w:cs="宋体"/>
          <w:color w:val="auto"/>
          <w:sz w:val="24"/>
          <w:highlight w:val="none"/>
          <w:u w:val="single"/>
        </w:rPr>
        <w:t>（标的名称）</w:t>
      </w:r>
      <w:r>
        <w:rPr>
          <w:rFonts w:hint="eastAsia" w:ascii="宋体" w:hAnsi="宋体" w:cs="宋体"/>
          <w:color w:val="auto"/>
          <w:sz w:val="24"/>
          <w:highlight w:val="none"/>
        </w:rPr>
        <w:t xml:space="preserve">，属于 </w:t>
      </w:r>
      <w:r>
        <w:rPr>
          <w:rFonts w:hint="eastAsia" w:ascii="宋体" w:hAnsi="宋体" w:cs="宋体"/>
          <w:color w:val="auto"/>
          <w:sz w:val="24"/>
          <w:highlight w:val="none"/>
          <w:u w:val="single"/>
        </w:rPr>
        <w:t>（采购文件中明确的所属行业）</w:t>
      </w:r>
      <w:r>
        <w:rPr>
          <w:rFonts w:hint="eastAsia" w:ascii="宋体" w:hAnsi="宋体" w:cs="宋体"/>
          <w:color w:val="auto"/>
          <w:sz w:val="24"/>
          <w:highlight w:val="none"/>
        </w:rPr>
        <w:t xml:space="preserve"> ；承建（承接）企业为 </w:t>
      </w:r>
      <w:r>
        <w:rPr>
          <w:rFonts w:hint="eastAsia" w:ascii="宋体" w:hAnsi="宋体" w:cs="宋体"/>
          <w:color w:val="auto"/>
          <w:sz w:val="24"/>
          <w:highlight w:val="none"/>
          <w:u w:val="single"/>
        </w:rPr>
        <w:t>（企业名称）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 </w:t>
      </w: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本企业对上述声明内容的真实性负责。如有虚假，将依法承担相应责任。</w:t>
      </w:r>
    </w:p>
    <w:p>
      <w:pPr>
        <w:spacing w:line="360" w:lineRule="auto"/>
        <w:ind w:firstLine="480" w:firstLineChars="200"/>
        <w:rPr>
          <w:rFonts w:ascii="宋体" w:hAnsi="宋体" w:cs="宋体"/>
          <w:color w:val="auto"/>
          <w:sz w:val="24"/>
          <w:highlight w:val="none"/>
        </w:rPr>
      </w:pPr>
    </w:p>
    <w:p>
      <w:pPr>
        <w:snapToGrid w:val="0"/>
        <w:spacing w:line="360" w:lineRule="auto"/>
        <w:ind w:firstLine="5160" w:firstLineChars="2150"/>
        <w:rPr>
          <w:rFonts w:ascii="宋体" w:hAnsi="宋体" w:cs="宋体"/>
          <w:color w:val="auto"/>
          <w:kern w:val="0"/>
          <w:sz w:val="24"/>
          <w:highlight w:val="none"/>
        </w:rPr>
      </w:pPr>
      <w:r>
        <w:rPr>
          <w:rFonts w:hint="eastAsia" w:ascii="宋体" w:hAnsi="宋体" w:cs="宋体"/>
          <w:color w:val="auto"/>
          <w:kern w:val="0"/>
          <w:sz w:val="24"/>
          <w:highlight w:val="none"/>
          <w:lang w:val="zh-CN"/>
        </w:rPr>
        <w:t>供应商名称(电子签名)：</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spacing w:line="360" w:lineRule="auto"/>
        <w:jc w:val="left"/>
        <w:rPr>
          <w:rFonts w:ascii="宋体" w:hAnsi="宋体" w:cs="宋体"/>
          <w:color w:val="auto"/>
          <w:sz w:val="18"/>
          <w:szCs w:val="18"/>
          <w:highlight w:val="none"/>
        </w:rPr>
      </w:pPr>
      <w:r>
        <w:rPr>
          <w:rFonts w:hint="eastAsia" w:ascii="宋体" w:hAnsi="宋体" w:cs="宋体"/>
          <w:color w:val="auto"/>
          <w:sz w:val="18"/>
          <w:szCs w:val="18"/>
          <w:highlight w:val="none"/>
        </w:rPr>
        <w:t>从业人员、营业收入、资产总额填报上一年度数据，无上一年度数据的新成立企业可不填报。</w:t>
      </w:r>
    </w:p>
    <w:p>
      <w:pPr>
        <w:spacing w:line="360" w:lineRule="auto"/>
        <w:ind w:right="420" w:firstLine="480" w:firstLineChars="200"/>
        <w:rPr>
          <w:rFonts w:ascii="宋体" w:hAnsi="宋体" w:cs="宋体"/>
          <w:color w:val="auto"/>
          <w:sz w:val="24"/>
          <w:highlight w:val="none"/>
        </w:rPr>
      </w:pPr>
      <w:r>
        <w:rPr>
          <w:rFonts w:hint="eastAsia" w:ascii="宋体" w:hAnsi="宋体" w:cs="宋体"/>
          <w:color w:val="auto"/>
          <w:sz w:val="24"/>
          <w:highlight w:val="none"/>
        </w:rPr>
        <w:t>注：</w:t>
      </w:r>
    </w:p>
    <w:p>
      <w:pPr>
        <w:spacing w:line="360" w:lineRule="auto"/>
        <w:ind w:right="420" w:firstLine="480" w:firstLineChars="200"/>
        <w:rPr>
          <w:rFonts w:ascii="宋体" w:hAnsi="宋体" w:cs="宋体"/>
          <w:color w:val="auto"/>
          <w:sz w:val="24"/>
          <w:highlight w:val="none"/>
        </w:rPr>
      </w:pPr>
      <w:r>
        <w:rPr>
          <w:rFonts w:hint="eastAsia" w:ascii="宋体" w:hAnsi="宋体" w:cs="宋体"/>
          <w:color w:val="auto"/>
          <w:sz w:val="24"/>
          <w:highlight w:val="none"/>
        </w:rPr>
        <w:t>1、填写要求：①“标的名称”、“采购文件中明确的所属行业”依据采购文件第二部分供应商须知前附表中“采购标的及其对应的中小企业划分标准所属行业”</w:t>
      </w:r>
      <w:r>
        <w:rPr>
          <w:rFonts w:hint="eastAsia" w:ascii="宋体" w:hAnsi="宋体" w:cs="宋体"/>
          <w:color w:val="auto"/>
          <w:sz w:val="24"/>
          <w:highlight w:val="none"/>
        </w:rPr>
        <w:t>的指引，逐一</w:t>
      </w:r>
      <w:r>
        <w:rPr>
          <w:rFonts w:hint="eastAsia" w:ascii="宋体" w:hAnsi="宋体" w:cs="宋体"/>
          <w:color w:val="auto"/>
          <w:sz w:val="24"/>
          <w:highlight w:val="none"/>
        </w:rPr>
        <w:t>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供应商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ascii="宋体" w:hAnsi="宋体" w:cs="宋体"/>
          <w:color w:val="auto"/>
          <w:sz w:val="24"/>
          <w:highlight w:val="none"/>
        </w:rPr>
      </w:pPr>
      <w:r>
        <w:rPr>
          <w:rFonts w:hint="eastAsia" w:ascii="宋体" w:hAnsi="宋体" w:cs="宋体"/>
          <w:color w:val="auto"/>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供应商提供由省级以上监狱管理局、戒毒管理局（含新疆生产建设兵团）出具的属于监狱企业证明文件的，视同为小型和微型企业。</w:t>
      </w: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rPr>
          <w:rFonts w:ascii="宋体" w:hAnsi="宋体" w:cs="宋体"/>
          <w:bCs/>
          <w:color w:val="auto"/>
          <w:sz w:val="24"/>
          <w:highlight w:val="none"/>
        </w:rPr>
        <w:sectPr>
          <w:pgSz w:w="11906" w:h="16838"/>
          <w:pgMar w:top="1440" w:right="1080" w:bottom="1440" w:left="1080" w:header="851" w:footer="992" w:gutter="0"/>
          <w:cols w:space="720" w:num="1"/>
          <w:titlePg/>
          <w:docGrid w:linePitch="312" w:charSpace="0"/>
        </w:sectPr>
      </w:pPr>
    </w:p>
    <w:p>
      <w:pPr>
        <w:spacing w:line="360" w:lineRule="auto"/>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附件8：工程量清单（另附）</w:t>
      </w:r>
    </w:p>
    <w:p>
      <w:pPr>
        <w:spacing w:line="360" w:lineRule="auto"/>
        <w:rPr>
          <w:rFonts w:ascii="宋体" w:hAnsi="宋体" w:cs="宋体"/>
          <w:b/>
          <w:color w:val="auto"/>
          <w:spacing w:val="6"/>
          <w:sz w:val="32"/>
          <w:szCs w:val="32"/>
          <w:highlight w:val="none"/>
        </w:rPr>
      </w:pPr>
    </w:p>
    <w:p>
      <w:pPr>
        <w:spacing w:line="360" w:lineRule="auto"/>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附件9：图纸（另附）</w:t>
      </w:r>
    </w:p>
    <w:p>
      <w:pPr>
        <w:rPr>
          <w:color w:val="auto"/>
          <w:highlight w:val="none"/>
        </w:rPr>
      </w:pPr>
      <w:r>
        <w:rPr>
          <w:color w:val="auto"/>
          <w:highlight w:val="none"/>
        </w:rPr>
        <w:br w:type="page"/>
      </w:r>
    </w:p>
    <w:p>
      <w:pPr>
        <w:pStyle w:val="4"/>
        <w:numPr>
          <w:ilvl w:val="255"/>
          <w:numId w:val="0"/>
        </w:numPr>
        <w:rPr>
          <w:rFonts w:ascii="宋体" w:hAnsi="宋体" w:cs="宋体"/>
          <w:color w:val="auto"/>
          <w:highlight w:val="none"/>
        </w:rPr>
      </w:pPr>
      <w:bookmarkStart w:id="446" w:name="_Toc7542913"/>
      <w:bookmarkStart w:id="447" w:name="_Toc7488756"/>
      <w:bookmarkStart w:id="448" w:name="_Toc7492525"/>
      <w:bookmarkStart w:id="449" w:name="_Toc20358289"/>
      <w:bookmarkStart w:id="450" w:name="_Toc25765007"/>
      <w:bookmarkStart w:id="451" w:name="_Toc7574702"/>
      <w:bookmarkStart w:id="452" w:name="_Toc17428346"/>
      <w:bookmarkStart w:id="453" w:name="_Toc24471815"/>
      <w:bookmarkStart w:id="454" w:name="_Toc17428251"/>
      <w:bookmarkStart w:id="455" w:name="_Toc10432455"/>
      <w:bookmarkStart w:id="456" w:name="_Toc7988472"/>
      <w:bookmarkStart w:id="457" w:name="_Toc7664194"/>
      <w:bookmarkStart w:id="458" w:name="_Toc8007002"/>
      <w:bookmarkStart w:id="459" w:name="_Toc7663594"/>
      <w:bookmarkStart w:id="460" w:name="_Toc7668947"/>
      <w:bookmarkStart w:id="461" w:name="_Toc7988418"/>
      <w:bookmarkStart w:id="462" w:name="_Toc7993638"/>
      <w:bookmarkStart w:id="463" w:name="_Toc522830351"/>
      <w:bookmarkStart w:id="464" w:name="_Toc522417531"/>
      <w:bookmarkStart w:id="465" w:name="_Toc532440701"/>
      <w:bookmarkStart w:id="466" w:name="_Toc2002574"/>
      <w:bookmarkStart w:id="467" w:name="_Toc4649580"/>
      <w:r>
        <w:rPr>
          <w:rFonts w:hint="eastAsia" w:ascii="宋体" w:hAnsi="宋体" w:cs="宋体"/>
          <w:color w:val="auto"/>
          <w:highlight w:val="none"/>
        </w:rPr>
        <w:t>其它</w:t>
      </w:r>
    </w:p>
    <w:p>
      <w:pPr>
        <w:pStyle w:val="34"/>
        <w:rPr>
          <w:rFonts w:hAnsi="宋体" w:cs="宋体"/>
          <w:color w:val="auto"/>
          <w:highlight w:val="none"/>
        </w:rPr>
      </w:pPr>
      <w:r>
        <w:rPr>
          <w:rFonts w:hint="eastAsia" w:hAnsi="宋体" w:cs="宋体"/>
          <w:color w:val="auto"/>
          <w:highlight w:val="none"/>
        </w:rPr>
        <w:t>（以下文件及规定如与最新规定不一致，以最新发布的为准）</w:t>
      </w:r>
    </w:p>
    <w:p>
      <w:pPr>
        <w:pStyle w:val="4"/>
        <w:rPr>
          <w:rFonts w:ascii="宋体" w:hAnsi="宋体" w:cs="宋体"/>
          <w:color w:val="auto"/>
          <w:highlight w:val="none"/>
        </w:rPr>
      </w:pPr>
      <w:r>
        <w:rPr>
          <w:rFonts w:hint="eastAsia" w:ascii="宋体" w:hAnsi="宋体" w:cs="宋体"/>
          <w:color w:val="auto"/>
          <w:highlight w:val="none"/>
        </w:rPr>
        <w:t>关于调整优化节能产品、环境标志产品政府采购执行机制的通知（财库[2019]9号）</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tbl>
      <w:tblPr>
        <w:tblStyle w:val="63"/>
        <w:tblW w:w="0" w:type="auto"/>
        <w:jc w:val="center"/>
        <w:tblBorders>
          <w:top w:val="thinThickSmallGap" w:color="0070C0" w:sz="18" w:space="0"/>
          <w:left w:val="thinThickSmallGap" w:color="0070C0" w:sz="18" w:space="0"/>
          <w:bottom w:val="thinThickSmallGap" w:color="0070C0" w:sz="18" w:space="0"/>
          <w:right w:val="thinThickSmallGap" w:color="0070C0" w:sz="18" w:space="0"/>
          <w:insideH w:val="thinThickSmallGap" w:color="0070C0" w:sz="18" w:space="0"/>
          <w:insideV w:val="thinThickSmallGap" w:color="0070C0" w:sz="18" w:space="0"/>
        </w:tblBorders>
        <w:tblLayout w:type="fixed"/>
        <w:tblCellMar>
          <w:top w:w="0" w:type="dxa"/>
          <w:left w:w="108" w:type="dxa"/>
          <w:bottom w:w="0" w:type="dxa"/>
          <w:right w:w="108" w:type="dxa"/>
        </w:tblCellMar>
      </w:tblPr>
      <w:tblGrid>
        <w:gridCol w:w="9145"/>
      </w:tblGrid>
      <w:tr>
        <w:tblPrEx>
          <w:tblBorders>
            <w:top w:val="thinThickSmallGap" w:color="0070C0" w:sz="18" w:space="0"/>
            <w:left w:val="thinThickSmallGap" w:color="0070C0" w:sz="18" w:space="0"/>
            <w:bottom w:val="thinThickSmallGap" w:color="0070C0" w:sz="18" w:space="0"/>
            <w:right w:val="thinThickSmallGap" w:color="0070C0" w:sz="18" w:space="0"/>
            <w:insideH w:val="thinThickSmallGap" w:color="0070C0" w:sz="18" w:space="0"/>
            <w:insideV w:val="thinThickSmallGap" w:color="0070C0" w:sz="18" w:space="0"/>
          </w:tblBorders>
          <w:tblCellMar>
            <w:top w:w="0" w:type="dxa"/>
            <w:left w:w="108" w:type="dxa"/>
            <w:bottom w:w="0" w:type="dxa"/>
            <w:right w:w="108" w:type="dxa"/>
          </w:tblCellMar>
        </w:tblPrEx>
        <w:trPr>
          <w:jc w:val="center"/>
        </w:trPr>
        <w:tc>
          <w:tcPr>
            <w:tcW w:w="9145" w:type="dxa"/>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财政部 发展改革委 生态环境部 市场监管总局</w:t>
            </w: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关于调整优化节能产品、环境标志产品政府采购执行机制的通知</w:t>
            </w: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财库〔2019〕9号</w:t>
            </w:r>
          </w:p>
          <w:p>
            <w:pPr>
              <w:spacing w:line="360" w:lineRule="auto"/>
              <w:jc w:val="center"/>
              <w:rPr>
                <w:rFonts w:ascii="宋体" w:hAnsi="宋体" w:cs="宋体"/>
                <w:b/>
                <w:color w:val="auto"/>
                <w:sz w:val="24"/>
                <w:highlight w:val="none"/>
              </w:rPr>
            </w:pPr>
          </w:p>
          <w:p>
            <w:pPr>
              <w:spacing w:line="360" w:lineRule="auto"/>
              <w:ind w:firstLine="487"/>
              <w:rPr>
                <w:rFonts w:ascii="宋体" w:hAnsi="宋体" w:cs="宋体"/>
                <w:b/>
                <w:color w:val="auto"/>
                <w:sz w:val="24"/>
                <w:highlight w:val="none"/>
              </w:rPr>
            </w:pPr>
            <w:r>
              <w:rPr>
                <w:rFonts w:hint="eastAsia" w:ascii="宋体" w:hAnsi="宋体" w:cs="宋体"/>
                <w:b/>
                <w:color w:val="auto"/>
                <w:sz w:val="24"/>
                <w:highlight w:val="none"/>
              </w:rPr>
              <w:t>有关中央预算单位，各省、自治区、直辖市、计划单列市财政厅（局）、发展改革委（经信委、工信委、工信厅、经信局）、生态环境厅（局）、市场监管部门，新疆生产建设兵团财政局、发展改革委、工信委、环境保护局、市场监管局：</w:t>
            </w:r>
          </w:p>
          <w:p>
            <w:pPr>
              <w:spacing w:line="360" w:lineRule="auto"/>
              <w:ind w:firstLine="424" w:firstLineChars="177"/>
              <w:rPr>
                <w:rFonts w:ascii="宋体" w:hAnsi="宋体" w:cs="宋体"/>
                <w:color w:val="auto"/>
                <w:sz w:val="24"/>
                <w:highlight w:val="none"/>
              </w:rPr>
            </w:pPr>
            <w:r>
              <w:rPr>
                <w:rFonts w:hint="eastAsia" w:ascii="宋体" w:hAnsi="宋体" w:cs="宋体"/>
                <w:color w:val="auto"/>
                <w:sz w:val="24"/>
                <w:highlight w:val="none"/>
              </w:rPr>
              <w:t>为落实“放管服”改革要求，完善政府绿色采购政策，简化节能（节水）产品、环境标志产品政府采购执行机制，优化供应商参与政府采购活动的市场环境，现就节能产品、环境标志产品政府采购有关事项通知如下：</w:t>
            </w:r>
          </w:p>
          <w:p>
            <w:pPr>
              <w:spacing w:line="360" w:lineRule="auto"/>
              <w:ind w:firstLine="426" w:firstLineChars="177"/>
              <w:rPr>
                <w:rFonts w:ascii="宋体" w:hAnsi="宋体" w:cs="宋体"/>
                <w:color w:val="auto"/>
                <w:sz w:val="24"/>
                <w:highlight w:val="none"/>
              </w:rPr>
            </w:pPr>
            <w:r>
              <w:rPr>
                <w:rFonts w:hint="eastAsia" w:ascii="宋体" w:hAnsi="宋体" w:cs="宋体"/>
                <w:b/>
                <w:color w:val="auto"/>
                <w:sz w:val="24"/>
                <w:highlight w:val="none"/>
              </w:rPr>
              <w:t>一、对政府采购节能产品、环境标志产品实施品目清单管理。</w:t>
            </w:r>
            <w:r>
              <w:rPr>
                <w:rFonts w:hint="eastAsia" w:ascii="宋体" w:hAnsi="宋体" w:cs="宋体"/>
                <w:color w:val="auto"/>
                <w:sz w:val="24"/>
                <w:highlight w:val="none"/>
              </w:rPr>
              <w:t>财政部、发展改革委、生态环境部等部门根据产品节能环保性能、技术水平和市场成熟程度等因素，确定实施政府优先采购和强制采购的产品类别及所依据的相关标准规范，以品目清单的形式发布并适时调整。不再发布“节能产品政府采购清单”和“环境标志产品政府采购清单”。</w:t>
            </w:r>
          </w:p>
          <w:p>
            <w:pPr>
              <w:spacing w:line="360" w:lineRule="auto"/>
              <w:ind w:firstLine="426" w:firstLineChars="177"/>
              <w:rPr>
                <w:rFonts w:ascii="宋体" w:hAnsi="宋体" w:cs="宋体"/>
                <w:color w:val="auto"/>
                <w:sz w:val="24"/>
                <w:highlight w:val="none"/>
              </w:rPr>
            </w:pPr>
            <w:r>
              <w:rPr>
                <w:rFonts w:hint="eastAsia" w:ascii="宋体" w:hAnsi="宋体" w:cs="宋体"/>
                <w:b/>
                <w:color w:val="auto"/>
                <w:sz w:val="24"/>
                <w:highlight w:val="none"/>
              </w:rPr>
              <w:t>二、依据品目清单和认证证书实施政府优先采购和强制采购。</w:t>
            </w:r>
            <w:r>
              <w:rPr>
                <w:rFonts w:hint="eastAsia" w:ascii="宋体" w:hAnsi="宋体" w:cs="宋体"/>
                <w:color w:val="auto"/>
                <w:sz w:val="24"/>
                <w:highlight w:val="none"/>
              </w:rPr>
              <w:t>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spacing w:line="360" w:lineRule="auto"/>
              <w:ind w:firstLine="426" w:firstLineChars="177"/>
              <w:rPr>
                <w:rFonts w:ascii="宋体" w:hAnsi="宋体" w:cs="宋体"/>
                <w:color w:val="auto"/>
                <w:sz w:val="24"/>
                <w:highlight w:val="none"/>
              </w:rPr>
            </w:pPr>
            <w:r>
              <w:rPr>
                <w:rFonts w:hint="eastAsia" w:ascii="宋体" w:hAnsi="宋体" w:cs="宋体"/>
                <w:b/>
                <w:color w:val="auto"/>
                <w:sz w:val="24"/>
                <w:highlight w:val="none"/>
              </w:rPr>
              <w:t>三、逐步扩大节能产品、环境标志产品认证机构范围。</w:t>
            </w:r>
            <w:r>
              <w:rPr>
                <w:rFonts w:hint="eastAsia" w:ascii="宋体" w:hAnsi="宋体" w:cs="宋体"/>
                <w:color w:val="auto"/>
                <w:sz w:val="24"/>
                <w:highlight w:val="none"/>
              </w:rPr>
              <w:t>根据认证机构发展状况，市场监管总局商有关部门按照试点先行、逐步放开、有序竞争的原则，逐步增加实施节能产品、环境标志产品认证的机构。加强对相关认证市场监管力度，推行“双随机、一公开”监管，建立认证机构信用监管机制，严厉打击认证违法行为。</w:t>
            </w:r>
          </w:p>
          <w:p>
            <w:pPr>
              <w:spacing w:line="360" w:lineRule="auto"/>
              <w:ind w:firstLine="426" w:firstLineChars="177"/>
              <w:rPr>
                <w:rFonts w:ascii="宋体" w:hAnsi="宋体" w:cs="宋体"/>
                <w:color w:val="auto"/>
                <w:sz w:val="24"/>
                <w:highlight w:val="none"/>
              </w:rPr>
            </w:pPr>
            <w:r>
              <w:rPr>
                <w:rFonts w:hint="eastAsia" w:ascii="宋体" w:hAnsi="宋体" w:cs="宋体"/>
                <w:b/>
                <w:color w:val="auto"/>
                <w:sz w:val="24"/>
                <w:highlight w:val="none"/>
              </w:rPr>
              <w:t>四、发布认证机构和获证产品信息。</w:t>
            </w:r>
            <w:r>
              <w:rPr>
                <w:rFonts w:hint="eastAsia" w:ascii="宋体" w:hAnsi="宋体" w:cs="宋体"/>
                <w:color w:val="auto"/>
                <w:sz w:val="24"/>
                <w:highlight w:val="none"/>
              </w:rPr>
              <w:t>市场监管总局组织建立节能产品、环境标志产品认证结果信息发布平台，公布相关认证机构和获证产品信息。节能产品、环境标志产品认证机构应当建立健全数据共享机制，及时向认证结果信息发布平台提供相关信息。中国政府采购网（www.ccgp.gov.cn）建立与认证结果信息发布平台的链接，方便采购人和采购代理机构查询、了解认证机构和获证产品相关情况。</w:t>
            </w:r>
          </w:p>
          <w:p>
            <w:pPr>
              <w:spacing w:line="360" w:lineRule="auto"/>
              <w:ind w:firstLine="426" w:firstLineChars="177"/>
              <w:rPr>
                <w:rFonts w:ascii="宋体" w:hAnsi="宋体" w:cs="宋体"/>
                <w:color w:val="auto"/>
                <w:sz w:val="24"/>
                <w:highlight w:val="none"/>
              </w:rPr>
            </w:pPr>
            <w:r>
              <w:rPr>
                <w:rFonts w:hint="eastAsia" w:ascii="宋体" w:hAnsi="宋体" w:cs="宋体"/>
                <w:b/>
                <w:color w:val="auto"/>
                <w:sz w:val="24"/>
                <w:highlight w:val="none"/>
              </w:rPr>
              <w:t>五、加大政府绿色采购力度。</w:t>
            </w:r>
            <w:r>
              <w:rPr>
                <w:rFonts w:hint="eastAsia" w:ascii="宋体" w:hAnsi="宋体" w:cs="宋体"/>
                <w:color w:val="auto"/>
                <w:sz w:val="24"/>
                <w:highlight w:val="none"/>
              </w:rPr>
              <w:t>对于已列入品目清单的产品类别，采购人可在采购需求中提出更高的节约资源和保护环境要求，对符合条件的获证产品给予优先待遇。对于未列入品目清单的产品类别，鼓励采购人综合考虑节能、节水、环保、循环、低碳、再生、有机等因素，参考相关国家标准、行业标准或团体标准，在采购需求中提出相关绿色采购要求，促进绿色产品推广应用。</w:t>
            </w:r>
          </w:p>
          <w:p>
            <w:pPr>
              <w:spacing w:line="360" w:lineRule="auto"/>
              <w:ind w:firstLine="426" w:firstLineChars="177"/>
              <w:rPr>
                <w:rFonts w:ascii="宋体" w:hAnsi="宋体" w:cs="宋体"/>
                <w:color w:val="auto"/>
                <w:sz w:val="24"/>
                <w:highlight w:val="none"/>
              </w:rPr>
            </w:pPr>
            <w:r>
              <w:rPr>
                <w:rFonts w:hint="eastAsia" w:ascii="宋体" w:hAnsi="宋体" w:cs="宋体"/>
                <w:b/>
                <w:color w:val="auto"/>
                <w:sz w:val="24"/>
                <w:highlight w:val="none"/>
              </w:rPr>
              <w:t>六、本通知自2019年4月1日起执行。</w:t>
            </w:r>
            <w:r>
              <w:rPr>
                <w:rFonts w:hint="eastAsia" w:ascii="宋体" w:hAnsi="宋体" w:cs="宋体"/>
                <w:color w:val="auto"/>
                <w:sz w:val="24"/>
                <w:highlight w:val="none"/>
              </w:rPr>
              <w:t>《财政部 生态环境部关于调整公布第二十二期环境标志产品政府采购清单的通知》（财库〔2018〕70号）和《财政部 国家发展改革委关于调整公布第二十四期节能产品政府采购清单的通知》（财库〔2018〕73号）同时停止执行。</w:t>
            </w:r>
          </w:p>
          <w:p>
            <w:pPr>
              <w:spacing w:line="360" w:lineRule="auto"/>
              <w:jc w:val="right"/>
              <w:rPr>
                <w:rFonts w:ascii="宋体" w:hAnsi="宋体" w:cs="宋体"/>
                <w:color w:val="auto"/>
                <w:sz w:val="24"/>
                <w:highlight w:val="none"/>
              </w:rPr>
            </w:pPr>
            <w:r>
              <w:rPr>
                <w:rFonts w:hint="eastAsia" w:ascii="宋体" w:hAnsi="宋体" w:cs="宋体"/>
                <w:color w:val="auto"/>
                <w:sz w:val="24"/>
                <w:highlight w:val="none"/>
              </w:rPr>
              <w:t>财政部 发展改革委 生态环境部 市场监管总局</w:t>
            </w:r>
          </w:p>
          <w:p>
            <w:pPr>
              <w:spacing w:line="360" w:lineRule="auto"/>
              <w:jc w:val="right"/>
              <w:rPr>
                <w:rFonts w:ascii="宋体" w:hAnsi="宋体" w:cs="宋体"/>
                <w:color w:val="auto"/>
                <w:kern w:val="0"/>
                <w:sz w:val="30"/>
                <w:szCs w:val="30"/>
                <w:highlight w:val="none"/>
              </w:rPr>
            </w:pPr>
            <w:r>
              <w:rPr>
                <w:rFonts w:hint="eastAsia" w:ascii="宋体" w:hAnsi="宋体" w:cs="宋体"/>
                <w:color w:val="auto"/>
                <w:sz w:val="24"/>
                <w:highlight w:val="none"/>
              </w:rPr>
              <w:t>2019年2月1日</w:t>
            </w:r>
          </w:p>
        </w:tc>
      </w:tr>
    </w:tbl>
    <w:p>
      <w:pPr>
        <w:widowControl/>
        <w:shd w:val="clear" w:color="auto" w:fill="FFFFFF"/>
        <w:spacing w:line="360" w:lineRule="auto"/>
        <w:jc w:val="center"/>
        <w:textAlignment w:val="baseline"/>
        <w:rPr>
          <w:rFonts w:ascii="宋体" w:hAnsi="宋体" w:cs="宋体"/>
          <w:color w:val="auto"/>
          <w:kern w:val="0"/>
          <w:sz w:val="30"/>
          <w:szCs w:val="30"/>
          <w:highlight w:val="none"/>
        </w:rPr>
      </w:pPr>
    </w:p>
    <w:p>
      <w:pPr>
        <w:widowControl/>
        <w:spacing w:line="360" w:lineRule="auto"/>
        <w:jc w:val="right"/>
        <w:rPr>
          <w:rFonts w:ascii="宋体" w:hAnsi="宋体" w:cs="宋体"/>
          <w:color w:val="auto"/>
          <w:kern w:val="0"/>
          <w:sz w:val="24"/>
          <w:szCs w:val="28"/>
          <w:highlight w:val="none"/>
        </w:rPr>
      </w:pPr>
    </w:p>
    <w:p>
      <w:pPr>
        <w:pStyle w:val="4"/>
        <w:rPr>
          <w:rFonts w:ascii="宋体" w:hAnsi="宋体" w:cs="宋体"/>
          <w:color w:val="auto"/>
          <w:szCs w:val="28"/>
          <w:highlight w:val="none"/>
        </w:rPr>
      </w:pPr>
      <w:r>
        <w:rPr>
          <w:rFonts w:hint="eastAsia" w:ascii="宋体" w:hAnsi="宋体" w:cs="宋体"/>
          <w:color w:val="auto"/>
          <w:szCs w:val="28"/>
          <w:highlight w:val="none"/>
        </w:rPr>
        <w:br w:type="page"/>
      </w:r>
      <w:bookmarkStart w:id="468" w:name="_Toc7488757"/>
      <w:bookmarkStart w:id="469" w:name="_Toc7668948"/>
      <w:bookmarkStart w:id="470" w:name="_Toc17428252"/>
      <w:bookmarkStart w:id="471" w:name="_Toc8007003"/>
      <w:bookmarkStart w:id="472" w:name="_Toc7574703"/>
      <w:bookmarkStart w:id="473" w:name="_Toc10432456"/>
      <w:bookmarkStart w:id="474" w:name="_Toc7988473"/>
      <w:bookmarkStart w:id="475" w:name="_Toc24471816"/>
      <w:bookmarkStart w:id="476" w:name="_Toc7663595"/>
      <w:bookmarkStart w:id="477" w:name="_Toc7542914"/>
      <w:bookmarkStart w:id="478" w:name="_Toc7664195"/>
      <w:bookmarkStart w:id="479" w:name="_Toc7492526"/>
      <w:bookmarkStart w:id="480" w:name="_Toc20358290"/>
      <w:bookmarkStart w:id="481" w:name="_Toc17428347"/>
      <w:bookmarkStart w:id="482" w:name="_Toc25765008"/>
      <w:bookmarkStart w:id="483" w:name="_Toc7993639"/>
      <w:bookmarkStart w:id="484" w:name="_Toc7988419"/>
      <w:r>
        <w:rPr>
          <w:rFonts w:hint="eastAsia" w:ascii="宋体" w:hAnsi="宋体" w:cs="宋体"/>
          <w:color w:val="auto"/>
          <w:highlight w:val="none"/>
        </w:rPr>
        <w:t>关于印发节能产品政府采购品目清单的通知（财库〔2019〕19号）</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tbl>
      <w:tblPr>
        <w:tblStyle w:val="63"/>
        <w:tblW w:w="0" w:type="auto"/>
        <w:jc w:val="center"/>
        <w:tblBorders>
          <w:top w:val="thinThickSmallGap" w:color="0070C0" w:sz="18" w:space="0"/>
          <w:left w:val="thinThickSmallGap" w:color="0070C0" w:sz="18" w:space="0"/>
          <w:bottom w:val="thinThickSmallGap" w:color="0070C0" w:sz="18" w:space="0"/>
          <w:right w:val="thinThickSmallGap" w:color="0070C0" w:sz="18" w:space="0"/>
          <w:insideH w:val="thinThickSmallGap" w:color="0070C0" w:sz="18" w:space="0"/>
          <w:insideV w:val="thinThickSmallGap" w:color="0070C0" w:sz="18" w:space="0"/>
        </w:tblBorders>
        <w:tblLayout w:type="fixed"/>
        <w:tblCellMar>
          <w:top w:w="0" w:type="dxa"/>
          <w:left w:w="108" w:type="dxa"/>
          <w:bottom w:w="0" w:type="dxa"/>
          <w:right w:w="108" w:type="dxa"/>
        </w:tblCellMar>
      </w:tblPr>
      <w:tblGrid>
        <w:gridCol w:w="9145"/>
      </w:tblGrid>
      <w:tr>
        <w:tblPrEx>
          <w:tblBorders>
            <w:top w:val="thinThickSmallGap" w:color="0070C0" w:sz="18" w:space="0"/>
            <w:left w:val="thinThickSmallGap" w:color="0070C0" w:sz="18" w:space="0"/>
            <w:bottom w:val="thinThickSmallGap" w:color="0070C0" w:sz="18" w:space="0"/>
            <w:right w:val="thinThickSmallGap" w:color="0070C0" w:sz="18" w:space="0"/>
            <w:insideH w:val="thinThickSmallGap" w:color="0070C0" w:sz="18" w:space="0"/>
            <w:insideV w:val="thinThickSmallGap" w:color="0070C0" w:sz="18" w:space="0"/>
          </w:tblBorders>
          <w:tblCellMar>
            <w:top w:w="0" w:type="dxa"/>
            <w:left w:w="108" w:type="dxa"/>
            <w:bottom w:w="0" w:type="dxa"/>
            <w:right w:w="108" w:type="dxa"/>
          </w:tblCellMar>
        </w:tblPrEx>
        <w:trPr>
          <w:jc w:val="center"/>
        </w:trPr>
        <w:tc>
          <w:tcPr>
            <w:tcW w:w="9145" w:type="dxa"/>
          </w:tcPr>
          <w:p>
            <w:pPr>
              <w:widowControl/>
              <w:spacing w:line="360" w:lineRule="auto"/>
              <w:jc w:val="center"/>
              <w:rPr>
                <w:rFonts w:ascii="宋体" w:hAnsi="宋体" w:cs="宋体"/>
                <w:b/>
                <w:color w:val="auto"/>
                <w:kern w:val="0"/>
                <w:sz w:val="32"/>
                <w:highlight w:val="none"/>
              </w:rPr>
            </w:pPr>
            <w:r>
              <w:rPr>
                <w:rFonts w:hint="eastAsia" w:ascii="宋体" w:hAnsi="宋体" w:cs="宋体"/>
                <w:b/>
                <w:color w:val="auto"/>
                <w:kern w:val="0"/>
                <w:sz w:val="32"/>
                <w:highlight w:val="none"/>
              </w:rPr>
              <w:t>关于印发节能产品政府采购品目清单的通知</w:t>
            </w:r>
          </w:p>
          <w:p>
            <w:pPr>
              <w:widowControl/>
              <w:spacing w:line="360" w:lineRule="auto"/>
              <w:jc w:val="center"/>
              <w:rPr>
                <w:rFonts w:ascii="宋体" w:hAnsi="宋体" w:cs="宋体"/>
                <w:color w:val="auto"/>
                <w:kern w:val="0"/>
                <w:sz w:val="28"/>
                <w:highlight w:val="none"/>
              </w:rPr>
            </w:pPr>
            <w:r>
              <w:rPr>
                <w:rFonts w:hint="eastAsia" w:ascii="宋体" w:hAnsi="宋体" w:cs="宋体"/>
                <w:b/>
                <w:color w:val="auto"/>
                <w:kern w:val="0"/>
                <w:sz w:val="32"/>
                <w:highlight w:val="none"/>
              </w:rPr>
              <w:t>财库〔2019〕19号</w:t>
            </w:r>
          </w:p>
          <w:p>
            <w:pPr>
              <w:widowControl/>
              <w:spacing w:line="360" w:lineRule="auto"/>
              <w:jc w:val="center"/>
              <w:rPr>
                <w:rFonts w:ascii="宋体" w:hAnsi="宋体" w:cs="宋体"/>
                <w:color w:val="auto"/>
                <w:kern w:val="0"/>
                <w:sz w:val="28"/>
                <w:highlight w:val="none"/>
              </w:rPr>
            </w:pPr>
          </w:p>
          <w:p>
            <w:pPr>
              <w:widowControl/>
              <w:spacing w:line="360" w:lineRule="auto"/>
              <w:jc w:val="left"/>
              <w:rPr>
                <w:rFonts w:ascii="宋体" w:hAnsi="宋体" w:cs="宋体"/>
                <w:b/>
                <w:color w:val="auto"/>
                <w:kern w:val="0"/>
                <w:sz w:val="28"/>
                <w:highlight w:val="none"/>
              </w:rPr>
            </w:pPr>
            <w:r>
              <w:rPr>
                <w:rFonts w:hint="eastAsia" w:ascii="宋体" w:hAnsi="宋体" w:cs="宋体"/>
                <w:b/>
                <w:color w:val="auto"/>
                <w:kern w:val="0"/>
                <w:sz w:val="28"/>
                <w:highlight w:val="none"/>
              </w:rPr>
              <w:t>有关中央预算单位，各省、自治区、直辖市、计划单列市财政厅（局）、发展改革委（经信委、工信委、工信厅、经信局），新疆生产建设兵团财政局、发展改革委：</w:t>
            </w:r>
          </w:p>
          <w:p>
            <w:pPr>
              <w:widowControl/>
              <w:spacing w:line="360" w:lineRule="auto"/>
              <w:jc w:val="left"/>
              <w:rPr>
                <w:rFonts w:ascii="宋体" w:hAnsi="宋体" w:cs="宋体"/>
                <w:color w:val="auto"/>
                <w:kern w:val="0"/>
                <w:sz w:val="28"/>
                <w:highlight w:val="none"/>
              </w:rPr>
            </w:pPr>
          </w:p>
          <w:p>
            <w:pPr>
              <w:widowControl/>
              <w:spacing w:line="360" w:lineRule="auto"/>
              <w:ind w:firstLine="565" w:firstLineChars="202"/>
              <w:jc w:val="left"/>
              <w:rPr>
                <w:rFonts w:ascii="宋体" w:hAnsi="宋体" w:cs="宋体"/>
                <w:color w:val="auto"/>
                <w:kern w:val="0"/>
                <w:sz w:val="28"/>
                <w:highlight w:val="none"/>
              </w:rPr>
            </w:pPr>
            <w:r>
              <w:rPr>
                <w:rFonts w:hint="eastAsia" w:ascii="宋体" w:hAnsi="宋体" w:cs="宋体"/>
                <w:color w:val="auto"/>
                <w:kern w:val="0"/>
                <w:sz w:val="28"/>
                <w:highlight w:val="none"/>
              </w:rPr>
              <w:t>根据《财政部发展改革委 生态环境部 市场监管总局关于调整优化节能产品 环境标志产品政府采购执行机制的通知》（财库〔2019〕9号），我们研究制定节能产品政府采购品目清单，现印发给你们，请遵照执行。</w:t>
            </w:r>
          </w:p>
          <w:p>
            <w:pPr>
              <w:widowControl/>
              <w:spacing w:line="360" w:lineRule="auto"/>
              <w:jc w:val="left"/>
              <w:rPr>
                <w:rFonts w:ascii="宋体" w:hAnsi="宋体" w:cs="宋体"/>
                <w:color w:val="auto"/>
                <w:kern w:val="0"/>
                <w:sz w:val="28"/>
                <w:highlight w:val="none"/>
              </w:rPr>
            </w:pPr>
          </w:p>
          <w:p>
            <w:pPr>
              <w:widowControl/>
              <w:spacing w:line="360" w:lineRule="auto"/>
              <w:jc w:val="left"/>
              <w:rPr>
                <w:rFonts w:ascii="宋体" w:hAnsi="宋体" w:cs="宋体"/>
                <w:color w:val="auto"/>
                <w:kern w:val="0"/>
                <w:sz w:val="28"/>
                <w:highlight w:val="none"/>
              </w:rPr>
            </w:pPr>
          </w:p>
          <w:p>
            <w:pPr>
              <w:widowControl/>
              <w:spacing w:line="360" w:lineRule="auto"/>
              <w:jc w:val="left"/>
              <w:rPr>
                <w:rFonts w:ascii="宋体" w:hAnsi="宋体" w:cs="宋体"/>
                <w:color w:val="auto"/>
                <w:kern w:val="0"/>
                <w:sz w:val="28"/>
                <w:highlight w:val="none"/>
              </w:rPr>
            </w:pPr>
          </w:p>
          <w:p>
            <w:pPr>
              <w:widowControl/>
              <w:spacing w:line="360" w:lineRule="auto"/>
              <w:jc w:val="left"/>
              <w:rPr>
                <w:rFonts w:ascii="宋体" w:hAnsi="宋体" w:cs="宋体"/>
                <w:color w:val="auto"/>
                <w:kern w:val="0"/>
                <w:sz w:val="28"/>
                <w:highlight w:val="none"/>
              </w:rPr>
            </w:pPr>
          </w:p>
          <w:p>
            <w:pPr>
              <w:widowControl/>
              <w:spacing w:line="360" w:lineRule="auto"/>
              <w:jc w:val="left"/>
              <w:rPr>
                <w:rFonts w:ascii="宋体" w:hAnsi="宋体" w:cs="宋体"/>
                <w:color w:val="auto"/>
                <w:kern w:val="0"/>
                <w:sz w:val="28"/>
                <w:highlight w:val="none"/>
              </w:rPr>
            </w:pPr>
            <w:r>
              <w:rPr>
                <w:rFonts w:hint="eastAsia" w:ascii="宋体" w:hAnsi="宋体" w:cs="宋体"/>
                <w:color w:val="auto"/>
                <w:kern w:val="0"/>
                <w:sz w:val="28"/>
                <w:highlight w:val="none"/>
              </w:rPr>
              <w:t>附件：节能产品政府采购品目清单</w:t>
            </w:r>
          </w:p>
          <w:p>
            <w:pPr>
              <w:widowControl/>
              <w:spacing w:line="360" w:lineRule="auto"/>
              <w:jc w:val="left"/>
              <w:rPr>
                <w:rFonts w:ascii="宋体" w:hAnsi="宋体" w:cs="宋体"/>
                <w:color w:val="auto"/>
                <w:kern w:val="0"/>
                <w:sz w:val="28"/>
                <w:highlight w:val="none"/>
              </w:rPr>
            </w:pPr>
          </w:p>
          <w:p>
            <w:pPr>
              <w:widowControl/>
              <w:spacing w:line="360" w:lineRule="auto"/>
              <w:jc w:val="left"/>
              <w:rPr>
                <w:rFonts w:ascii="宋体" w:hAnsi="宋体" w:cs="宋体"/>
                <w:color w:val="auto"/>
                <w:kern w:val="0"/>
                <w:sz w:val="28"/>
                <w:highlight w:val="none"/>
              </w:rPr>
            </w:pPr>
          </w:p>
          <w:p>
            <w:pPr>
              <w:widowControl/>
              <w:spacing w:line="360" w:lineRule="auto"/>
              <w:jc w:val="right"/>
              <w:rPr>
                <w:rFonts w:ascii="宋体" w:hAnsi="宋体" w:cs="宋体"/>
                <w:color w:val="auto"/>
                <w:kern w:val="0"/>
                <w:sz w:val="28"/>
                <w:highlight w:val="none"/>
              </w:rPr>
            </w:pPr>
            <w:r>
              <w:rPr>
                <w:rFonts w:hint="eastAsia" w:ascii="宋体" w:hAnsi="宋体" w:cs="宋体"/>
                <w:color w:val="auto"/>
                <w:kern w:val="0"/>
                <w:sz w:val="28"/>
                <w:highlight w:val="none"/>
              </w:rPr>
              <w:t>财政部  发展改革委</w:t>
            </w:r>
          </w:p>
          <w:p>
            <w:pPr>
              <w:widowControl/>
              <w:spacing w:line="360" w:lineRule="auto"/>
              <w:jc w:val="right"/>
              <w:rPr>
                <w:rFonts w:ascii="宋体" w:hAnsi="宋体" w:cs="宋体"/>
                <w:b/>
                <w:color w:val="auto"/>
                <w:kern w:val="0"/>
                <w:sz w:val="32"/>
                <w:highlight w:val="none"/>
              </w:rPr>
            </w:pPr>
            <w:r>
              <w:rPr>
                <w:rFonts w:hint="eastAsia" w:ascii="宋体" w:hAnsi="宋体" w:cs="宋体"/>
                <w:color w:val="auto"/>
                <w:kern w:val="0"/>
                <w:sz w:val="28"/>
                <w:highlight w:val="none"/>
              </w:rPr>
              <w:t>2019年4月2日</w:t>
            </w:r>
          </w:p>
        </w:tc>
      </w:tr>
    </w:tbl>
    <w:p>
      <w:pPr>
        <w:widowControl/>
        <w:spacing w:line="360" w:lineRule="auto"/>
        <w:jc w:val="center"/>
        <w:rPr>
          <w:rFonts w:ascii="宋体" w:hAnsi="宋体" w:cs="宋体"/>
          <w:b/>
          <w:color w:val="auto"/>
          <w:kern w:val="0"/>
          <w:sz w:val="32"/>
          <w:highlight w:val="none"/>
        </w:rPr>
      </w:pPr>
    </w:p>
    <w:p>
      <w:pPr>
        <w:widowControl/>
        <w:spacing w:line="360" w:lineRule="auto"/>
        <w:jc w:val="right"/>
        <w:rPr>
          <w:rFonts w:ascii="宋体" w:hAnsi="宋体" w:cs="宋体"/>
          <w:color w:val="auto"/>
          <w:highlight w:val="none"/>
        </w:rPr>
      </w:pPr>
    </w:p>
    <w:p>
      <w:pPr>
        <w:keepNext/>
        <w:widowControl/>
        <w:adjustRightInd/>
        <w:rPr>
          <w:rFonts w:ascii="宋体" w:hAnsi="宋体" w:cs="宋体"/>
          <w:color w:val="auto"/>
          <w:highlight w:val="none"/>
        </w:rPr>
      </w:pPr>
      <w:r>
        <w:rPr>
          <w:rFonts w:hint="eastAsia" w:ascii="宋体" w:hAnsi="宋体" w:cs="宋体"/>
          <w:color w:val="auto"/>
          <w:highlight w:val="none"/>
        </w:rPr>
        <w:br w:type="page"/>
      </w:r>
      <w:r>
        <w:rPr>
          <w:rFonts w:hint="eastAsia" w:ascii="宋体" w:hAnsi="宋体" w:cs="宋体"/>
          <w:color w:val="auto"/>
          <w:highlight w:val="none"/>
        </w:rPr>
        <w:t>附：节能产品政府采购品目清单</w:t>
      </w:r>
    </w:p>
    <w:tbl>
      <w:tblPr>
        <w:tblStyle w:val="63"/>
        <w:tblW w:w="0" w:type="auto"/>
        <w:jc w:val="center"/>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Layout w:type="fixed"/>
        <w:tblCellMar>
          <w:top w:w="0" w:type="dxa"/>
          <w:left w:w="108" w:type="dxa"/>
          <w:bottom w:w="0" w:type="dxa"/>
          <w:right w:w="108" w:type="dxa"/>
        </w:tblCellMar>
      </w:tblPr>
      <w:tblGrid>
        <w:gridCol w:w="690"/>
        <w:gridCol w:w="1933"/>
        <w:gridCol w:w="2209"/>
        <w:gridCol w:w="1807"/>
        <w:gridCol w:w="3301"/>
      </w:tblGrid>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tblHeader/>
          <w:jc w:val="center"/>
        </w:trPr>
        <w:tc>
          <w:tcPr>
            <w:tcW w:w="690" w:type="dxa"/>
            <w:shd w:val="clear" w:color="auto" w:fill="DAEEF3"/>
            <w:vAlign w:val="center"/>
          </w:tcPr>
          <w:p>
            <w:pPr>
              <w:jc w:val="center"/>
              <w:rPr>
                <w:rFonts w:ascii="宋体" w:hAnsi="宋体" w:cs="宋体"/>
                <w:b/>
                <w:color w:val="auto"/>
                <w:w w:val="90"/>
                <w:szCs w:val="21"/>
                <w:highlight w:val="none"/>
              </w:rPr>
            </w:pPr>
            <w:r>
              <w:rPr>
                <w:rFonts w:hint="eastAsia" w:ascii="宋体" w:hAnsi="宋体" w:cs="宋体"/>
                <w:b/>
                <w:color w:val="auto"/>
                <w:w w:val="90"/>
                <w:szCs w:val="21"/>
                <w:highlight w:val="none"/>
              </w:rPr>
              <w:t>品目序号</w:t>
            </w:r>
          </w:p>
        </w:tc>
        <w:tc>
          <w:tcPr>
            <w:tcW w:w="5949" w:type="dxa"/>
            <w:gridSpan w:val="3"/>
            <w:shd w:val="clear" w:color="auto" w:fill="DAEEF3"/>
            <w:vAlign w:val="center"/>
          </w:tcPr>
          <w:p>
            <w:pPr>
              <w:jc w:val="center"/>
              <w:rPr>
                <w:rFonts w:ascii="宋体" w:hAnsi="宋体" w:cs="宋体"/>
                <w:b/>
                <w:color w:val="auto"/>
                <w:w w:val="90"/>
                <w:szCs w:val="21"/>
                <w:highlight w:val="none"/>
              </w:rPr>
            </w:pPr>
            <w:r>
              <w:rPr>
                <w:rFonts w:hint="eastAsia" w:ascii="宋体" w:hAnsi="宋体" w:cs="宋体"/>
                <w:b/>
                <w:color w:val="auto"/>
                <w:w w:val="90"/>
                <w:szCs w:val="21"/>
                <w:highlight w:val="none"/>
              </w:rPr>
              <w:t>名称</w:t>
            </w:r>
          </w:p>
        </w:tc>
        <w:tc>
          <w:tcPr>
            <w:tcW w:w="3301" w:type="dxa"/>
            <w:shd w:val="clear" w:color="auto" w:fill="DAEEF3"/>
            <w:vAlign w:val="center"/>
          </w:tcPr>
          <w:p>
            <w:pPr>
              <w:jc w:val="center"/>
              <w:rPr>
                <w:rFonts w:ascii="宋体" w:hAnsi="宋体" w:cs="宋体"/>
                <w:b/>
                <w:color w:val="auto"/>
                <w:w w:val="90"/>
                <w:szCs w:val="21"/>
                <w:highlight w:val="none"/>
              </w:rPr>
            </w:pPr>
            <w:r>
              <w:rPr>
                <w:rFonts w:hint="eastAsia" w:ascii="宋体" w:hAnsi="宋体" w:cs="宋体"/>
                <w:b/>
                <w:color w:val="auto"/>
                <w:w w:val="90"/>
                <w:szCs w:val="21"/>
                <w:highlight w:val="none"/>
              </w:rPr>
              <w:t>依据的标准</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restart"/>
            <w:vAlign w:val="center"/>
          </w:tcPr>
          <w:p>
            <w:pPr>
              <w:jc w:val="center"/>
              <w:rPr>
                <w:rFonts w:ascii="宋体" w:hAnsi="宋体" w:cs="宋体"/>
                <w:color w:val="auto"/>
                <w:w w:val="90"/>
                <w:szCs w:val="21"/>
                <w:highlight w:val="none"/>
              </w:rPr>
            </w:pPr>
            <w:r>
              <w:rPr>
                <w:rFonts w:hint="eastAsia" w:ascii="宋体" w:hAnsi="宋体" w:cs="宋体"/>
                <w:color w:val="auto"/>
                <w:w w:val="90"/>
                <w:szCs w:val="21"/>
                <w:highlight w:val="none"/>
              </w:rPr>
              <w:t>1</w:t>
            </w:r>
          </w:p>
        </w:tc>
        <w:tc>
          <w:tcPr>
            <w:tcW w:w="1933" w:type="dxa"/>
            <w:vMerge w:val="restart"/>
            <w:vAlign w:val="center"/>
          </w:tcPr>
          <w:p>
            <w:pPr>
              <w:jc w:val="left"/>
              <w:rPr>
                <w:rFonts w:ascii="宋体" w:hAnsi="宋体" w:cs="宋体"/>
                <w:color w:val="auto"/>
                <w:w w:val="90"/>
                <w:szCs w:val="21"/>
                <w:highlight w:val="none"/>
              </w:rPr>
            </w:pPr>
            <w:r>
              <w:rPr>
                <w:rFonts w:hint="eastAsia" w:ascii="宋体" w:hAnsi="宋体" w:cs="宋体"/>
                <w:color w:val="auto"/>
                <w:w w:val="90"/>
                <w:szCs w:val="21"/>
                <w:highlight w:val="none"/>
              </w:rPr>
              <w:t>A020101计算机设备</w:t>
            </w:r>
          </w:p>
        </w:tc>
        <w:tc>
          <w:tcPr>
            <w:tcW w:w="2209" w:type="dxa"/>
            <w:vAlign w:val="center"/>
          </w:tcPr>
          <w:p>
            <w:pPr>
              <w:jc w:val="left"/>
              <w:rPr>
                <w:rFonts w:ascii="宋体" w:hAnsi="宋体" w:cs="宋体"/>
                <w:b/>
                <w:color w:val="auto"/>
                <w:w w:val="90"/>
                <w:szCs w:val="21"/>
                <w:highlight w:val="none"/>
              </w:rPr>
            </w:pPr>
            <w:r>
              <w:rPr>
                <w:rFonts w:hint="eastAsia" w:ascii="宋体" w:hAnsi="宋体" w:cs="宋体"/>
                <w:color w:val="auto"/>
                <w:w w:val="90"/>
                <w:szCs w:val="21"/>
                <w:highlight w:val="none"/>
              </w:rPr>
              <w:t>★</w:t>
            </w:r>
            <w:r>
              <w:rPr>
                <w:rFonts w:hint="eastAsia" w:ascii="宋体" w:hAnsi="宋体" w:cs="宋体"/>
                <w:b/>
                <w:color w:val="auto"/>
                <w:w w:val="90"/>
                <w:szCs w:val="21"/>
                <w:highlight w:val="none"/>
              </w:rPr>
              <w:t>A02010104台式计算机</w:t>
            </w:r>
          </w:p>
        </w:tc>
        <w:tc>
          <w:tcPr>
            <w:tcW w:w="1807" w:type="dxa"/>
            <w:vAlign w:val="center"/>
          </w:tcPr>
          <w:p>
            <w:pPr>
              <w:jc w:val="center"/>
              <w:rPr>
                <w:rFonts w:ascii="宋体" w:hAnsi="宋体" w:cs="宋体"/>
                <w:color w:val="auto"/>
                <w:w w:val="90"/>
                <w:szCs w:val="21"/>
                <w:highlight w:val="none"/>
              </w:rPr>
            </w:pPr>
          </w:p>
        </w:tc>
        <w:tc>
          <w:tcPr>
            <w:tcW w:w="3301" w:type="dxa"/>
            <w:vAlign w:val="center"/>
          </w:tcPr>
          <w:p>
            <w:pPr>
              <w:jc w:val="left"/>
              <w:rPr>
                <w:rFonts w:ascii="宋体" w:hAnsi="宋体" w:cs="宋体"/>
                <w:color w:val="auto"/>
                <w:w w:val="90"/>
                <w:szCs w:val="21"/>
                <w:highlight w:val="none"/>
              </w:rPr>
            </w:pPr>
            <w:r>
              <w:rPr>
                <w:rFonts w:hint="eastAsia" w:ascii="宋体" w:hAnsi="宋体" w:cs="宋体"/>
                <w:color w:val="auto"/>
                <w:w w:val="90"/>
                <w:szCs w:val="21"/>
                <w:highlight w:val="none"/>
              </w:rPr>
              <w:t>《微型计算机能效限定值及能效等级》（GB 28380）</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rFonts w:ascii="宋体" w:hAnsi="宋体" w:cs="宋体"/>
                <w:color w:val="auto"/>
                <w:w w:val="90"/>
                <w:szCs w:val="21"/>
                <w:highlight w:val="none"/>
              </w:rPr>
            </w:pPr>
          </w:p>
        </w:tc>
        <w:tc>
          <w:tcPr>
            <w:tcW w:w="1933" w:type="dxa"/>
            <w:vMerge w:val="continue"/>
            <w:vAlign w:val="center"/>
          </w:tcPr>
          <w:p>
            <w:pPr>
              <w:jc w:val="left"/>
              <w:rPr>
                <w:rFonts w:ascii="宋体" w:hAnsi="宋体" w:cs="宋体"/>
                <w:color w:val="auto"/>
                <w:w w:val="90"/>
                <w:szCs w:val="21"/>
                <w:highlight w:val="none"/>
              </w:rPr>
            </w:pPr>
          </w:p>
        </w:tc>
        <w:tc>
          <w:tcPr>
            <w:tcW w:w="2209" w:type="dxa"/>
            <w:vAlign w:val="center"/>
          </w:tcPr>
          <w:p>
            <w:pPr>
              <w:jc w:val="left"/>
              <w:rPr>
                <w:rFonts w:ascii="宋体" w:hAnsi="宋体" w:cs="宋体"/>
                <w:b/>
                <w:color w:val="auto"/>
                <w:w w:val="90"/>
                <w:szCs w:val="21"/>
                <w:highlight w:val="none"/>
              </w:rPr>
            </w:pPr>
            <w:r>
              <w:rPr>
                <w:rFonts w:hint="eastAsia" w:ascii="宋体" w:hAnsi="宋体" w:cs="宋体"/>
                <w:color w:val="auto"/>
                <w:w w:val="90"/>
                <w:szCs w:val="21"/>
                <w:highlight w:val="none"/>
              </w:rPr>
              <w:t>★</w:t>
            </w:r>
            <w:r>
              <w:rPr>
                <w:rFonts w:hint="eastAsia" w:ascii="宋体" w:hAnsi="宋体" w:cs="宋体"/>
                <w:b/>
                <w:color w:val="auto"/>
                <w:w w:val="90"/>
                <w:szCs w:val="21"/>
                <w:highlight w:val="none"/>
              </w:rPr>
              <w:t>A02010105便携式计算</w:t>
            </w:r>
          </w:p>
        </w:tc>
        <w:tc>
          <w:tcPr>
            <w:tcW w:w="1807" w:type="dxa"/>
            <w:vAlign w:val="center"/>
          </w:tcPr>
          <w:p>
            <w:pPr>
              <w:jc w:val="center"/>
              <w:rPr>
                <w:rFonts w:ascii="宋体" w:hAnsi="宋体" w:cs="宋体"/>
                <w:color w:val="auto"/>
                <w:w w:val="90"/>
                <w:szCs w:val="21"/>
                <w:highlight w:val="none"/>
              </w:rPr>
            </w:pPr>
          </w:p>
        </w:tc>
        <w:tc>
          <w:tcPr>
            <w:tcW w:w="3301" w:type="dxa"/>
            <w:vAlign w:val="center"/>
          </w:tcPr>
          <w:p>
            <w:pPr>
              <w:jc w:val="left"/>
              <w:rPr>
                <w:rFonts w:ascii="宋体" w:hAnsi="宋体" w:cs="宋体"/>
                <w:color w:val="auto"/>
                <w:w w:val="90"/>
                <w:szCs w:val="21"/>
                <w:highlight w:val="none"/>
              </w:rPr>
            </w:pPr>
            <w:r>
              <w:rPr>
                <w:rFonts w:hint="eastAsia" w:ascii="宋体" w:hAnsi="宋体" w:cs="宋体"/>
                <w:color w:val="auto"/>
                <w:w w:val="90"/>
                <w:szCs w:val="21"/>
                <w:highlight w:val="none"/>
              </w:rPr>
              <w:t>《微型计算机能效限定值及能效等级》（GB 28380）</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rFonts w:ascii="宋体" w:hAnsi="宋体" w:cs="宋体"/>
                <w:color w:val="auto"/>
                <w:w w:val="90"/>
                <w:szCs w:val="21"/>
                <w:highlight w:val="none"/>
              </w:rPr>
            </w:pPr>
          </w:p>
        </w:tc>
        <w:tc>
          <w:tcPr>
            <w:tcW w:w="1933" w:type="dxa"/>
            <w:vMerge w:val="continue"/>
            <w:vAlign w:val="center"/>
          </w:tcPr>
          <w:p>
            <w:pPr>
              <w:jc w:val="left"/>
              <w:rPr>
                <w:rFonts w:ascii="宋体" w:hAnsi="宋体" w:cs="宋体"/>
                <w:color w:val="auto"/>
                <w:w w:val="90"/>
                <w:szCs w:val="21"/>
                <w:highlight w:val="none"/>
              </w:rPr>
            </w:pPr>
          </w:p>
        </w:tc>
        <w:tc>
          <w:tcPr>
            <w:tcW w:w="2209" w:type="dxa"/>
            <w:vAlign w:val="center"/>
          </w:tcPr>
          <w:p>
            <w:pPr>
              <w:jc w:val="left"/>
              <w:rPr>
                <w:rFonts w:ascii="宋体" w:hAnsi="宋体" w:cs="宋体"/>
                <w:b/>
                <w:color w:val="auto"/>
                <w:w w:val="90"/>
                <w:szCs w:val="21"/>
                <w:highlight w:val="none"/>
              </w:rPr>
            </w:pPr>
            <w:r>
              <w:rPr>
                <w:rFonts w:hint="eastAsia" w:ascii="宋体" w:hAnsi="宋体" w:cs="宋体"/>
                <w:color w:val="auto"/>
                <w:w w:val="90"/>
                <w:szCs w:val="21"/>
                <w:highlight w:val="none"/>
              </w:rPr>
              <w:t>★</w:t>
            </w:r>
            <w:r>
              <w:rPr>
                <w:rFonts w:hint="eastAsia" w:ascii="宋体" w:hAnsi="宋体" w:cs="宋体"/>
                <w:b/>
                <w:color w:val="auto"/>
                <w:w w:val="90"/>
                <w:szCs w:val="21"/>
                <w:highlight w:val="none"/>
              </w:rPr>
              <w:t>A02010107平板式微型计算机</w:t>
            </w:r>
          </w:p>
        </w:tc>
        <w:tc>
          <w:tcPr>
            <w:tcW w:w="1807" w:type="dxa"/>
            <w:vAlign w:val="center"/>
          </w:tcPr>
          <w:p>
            <w:pPr>
              <w:jc w:val="center"/>
              <w:rPr>
                <w:rFonts w:ascii="宋体" w:hAnsi="宋体" w:cs="宋体"/>
                <w:color w:val="auto"/>
                <w:w w:val="90"/>
                <w:szCs w:val="21"/>
                <w:highlight w:val="none"/>
              </w:rPr>
            </w:pPr>
          </w:p>
        </w:tc>
        <w:tc>
          <w:tcPr>
            <w:tcW w:w="3301" w:type="dxa"/>
            <w:vAlign w:val="center"/>
          </w:tcPr>
          <w:p>
            <w:pPr>
              <w:jc w:val="left"/>
              <w:rPr>
                <w:rFonts w:ascii="宋体" w:hAnsi="宋体" w:cs="宋体"/>
                <w:color w:val="auto"/>
                <w:w w:val="90"/>
                <w:szCs w:val="21"/>
                <w:highlight w:val="none"/>
              </w:rPr>
            </w:pPr>
            <w:r>
              <w:rPr>
                <w:rFonts w:hint="eastAsia" w:ascii="宋体" w:hAnsi="宋体" w:cs="宋体"/>
                <w:color w:val="auto"/>
                <w:w w:val="90"/>
                <w:szCs w:val="21"/>
                <w:highlight w:val="none"/>
              </w:rPr>
              <w:t>《微型计算机能效限定值及能效等级》（GB 28380）</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PrEx>
        <w:trPr>
          <w:trHeight w:val="567" w:hRule="atLeast"/>
          <w:jc w:val="center"/>
        </w:trPr>
        <w:tc>
          <w:tcPr>
            <w:tcW w:w="690" w:type="dxa"/>
            <w:vMerge w:val="restart"/>
            <w:vAlign w:val="center"/>
          </w:tcPr>
          <w:p>
            <w:pPr>
              <w:jc w:val="center"/>
              <w:rPr>
                <w:rFonts w:ascii="宋体" w:hAnsi="宋体" w:cs="宋体"/>
                <w:color w:val="auto"/>
                <w:w w:val="90"/>
                <w:szCs w:val="21"/>
                <w:highlight w:val="none"/>
              </w:rPr>
            </w:pPr>
            <w:r>
              <w:rPr>
                <w:rFonts w:hint="eastAsia" w:ascii="宋体" w:hAnsi="宋体" w:cs="宋体"/>
                <w:color w:val="auto"/>
                <w:w w:val="90"/>
                <w:szCs w:val="21"/>
                <w:highlight w:val="none"/>
              </w:rPr>
              <w:t>2</w:t>
            </w:r>
          </w:p>
        </w:tc>
        <w:tc>
          <w:tcPr>
            <w:tcW w:w="1933" w:type="dxa"/>
            <w:vMerge w:val="restart"/>
            <w:vAlign w:val="center"/>
          </w:tcPr>
          <w:p>
            <w:pPr>
              <w:jc w:val="left"/>
              <w:rPr>
                <w:rFonts w:ascii="宋体" w:hAnsi="宋体" w:cs="宋体"/>
                <w:color w:val="auto"/>
                <w:w w:val="90"/>
                <w:szCs w:val="21"/>
                <w:highlight w:val="none"/>
              </w:rPr>
            </w:pPr>
            <w:r>
              <w:rPr>
                <w:rFonts w:hint="eastAsia" w:ascii="宋体" w:hAnsi="宋体" w:cs="宋体"/>
                <w:color w:val="auto"/>
                <w:w w:val="90"/>
                <w:szCs w:val="21"/>
                <w:highlight w:val="none"/>
              </w:rPr>
              <w:t>A020106输入输出设备</w:t>
            </w:r>
          </w:p>
        </w:tc>
        <w:tc>
          <w:tcPr>
            <w:tcW w:w="2209" w:type="dxa"/>
            <w:vMerge w:val="restart"/>
            <w:vAlign w:val="center"/>
          </w:tcPr>
          <w:p>
            <w:pPr>
              <w:jc w:val="left"/>
              <w:rPr>
                <w:rFonts w:ascii="宋体" w:hAnsi="宋体" w:cs="宋体"/>
                <w:color w:val="auto"/>
                <w:w w:val="90"/>
                <w:szCs w:val="21"/>
                <w:highlight w:val="none"/>
              </w:rPr>
            </w:pPr>
            <w:r>
              <w:rPr>
                <w:rFonts w:hint="eastAsia" w:ascii="宋体" w:hAnsi="宋体" w:cs="宋体"/>
                <w:color w:val="auto"/>
                <w:w w:val="90"/>
                <w:szCs w:val="21"/>
                <w:highlight w:val="none"/>
              </w:rPr>
              <w:t>A02010601打印设备</w:t>
            </w:r>
          </w:p>
        </w:tc>
        <w:tc>
          <w:tcPr>
            <w:tcW w:w="1807" w:type="dxa"/>
            <w:vAlign w:val="center"/>
          </w:tcPr>
          <w:p>
            <w:pPr>
              <w:jc w:val="left"/>
              <w:rPr>
                <w:rFonts w:ascii="宋体" w:hAnsi="宋体" w:cs="宋体"/>
                <w:color w:val="auto"/>
                <w:w w:val="90"/>
                <w:szCs w:val="21"/>
                <w:highlight w:val="none"/>
              </w:rPr>
            </w:pPr>
            <w:r>
              <w:rPr>
                <w:rFonts w:hint="eastAsia" w:ascii="宋体" w:hAnsi="宋体" w:cs="宋体"/>
                <w:b/>
                <w:bCs/>
                <w:color w:val="auto"/>
                <w:w w:val="90"/>
                <w:szCs w:val="21"/>
                <w:highlight w:val="none"/>
              </w:rPr>
              <w:t>A0201060101喷墨打印机</w:t>
            </w:r>
          </w:p>
        </w:tc>
        <w:tc>
          <w:tcPr>
            <w:tcW w:w="3301" w:type="dxa"/>
            <w:vAlign w:val="center"/>
          </w:tcPr>
          <w:p>
            <w:pPr>
              <w:jc w:val="left"/>
              <w:rPr>
                <w:rFonts w:ascii="宋体" w:hAnsi="宋体" w:cs="宋体"/>
                <w:color w:val="auto"/>
                <w:w w:val="90"/>
                <w:szCs w:val="21"/>
                <w:highlight w:val="none"/>
              </w:rPr>
            </w:pPr>
            <w:r>
              <w:rPr>
                <w:rFonts w:hint="eastAsia" w:ascii="宋体" w:hAnsi="宋体" w:cs="宋体"/>
                <w:color w:val="auto"/>
                <w:w w:val="90"/>
                <w:szCs w:val="21"/>
                <w:highlight w:val="none"/>
              </w:rPr>
              <w:t>《复印机、打印机和传真机能效限定值及能效等级》（GB 21521）</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rFonts w:ascii="宋体" w:hAnsi="宋体" w:cs="宋体"/>
                <w:color w:val="auto"/>
                <w:w w:val="90"/>
                <w:szCs w:val="21"/>
                <w:highlight w:val="none"/>
              </w:rPr>
            </w:pPr>
          </w:p>
        </w:tc>
        <w:tc>
          <w:tcPr>
            <w:tcW w:w="1933" w:type="dxa"/>
            <w:vMerge w:val="continue"/>
            <w:vAlign w:val="center"/>
          </w:tcPr>
          <w:p>
            <w:pPr>
              <w:jc w:val="left"/>
              <w:rPr>
                <w:rFonts w:ascii="宋体" w:hAnsi="宋体" w:cs="宋体"/>
                <w:color w:val="auto"/>
                <w:w w:val="90"/>
                <w:szCs w:val="21"/>
                <w:highlight w:val="none"/>
              </w:rPr>
            </w:pPr>
          </w:p>
        </w:tc>
        <w:tc>
          <w:tcPr>
            <w:tcW w:w="2209" w:type="dxa"/>
            <w:vMerge w:val="continue"/>
            <w:vAlign w:val="center"/>
          </w:tcPr>
          <w:p>
            <w:pPr>
              <w:jc w:val="left"/>
              <w:rPr>
                <w:rFonts w:ascii="宋体" w:hAnsi="宋体" w:cs="宋体"/>
                <w:color w:val="auto"/>
                <w:w w:val="90"/>
                <w:szCs w:val="21"/>
                <w:highlight w:val="none"/>
              </w:rPr>
            </w:pPr>
          </w:p>
        </w:tc>
        <w:tc>
          <w:tcPr>
            <w:tcW w:w="1807" w:type="dxa"/>
            <w:vAlign w:val="center"/>
          </w:tcPr>
          <w:p>
            <w:pPr>
              <w:jc w:val="left"/>
              <w:rPr>
                <w:rFonts w:ascii="宋体" w:hAnsi="宋体" w:cs="宋体"/>
                <w:b/>
                <w:color w:val="auto"/>
                <w:w w:val="90"/>
                <w:szCs w:val="21"/>
                <w:highlight w:val="none"/>
              </w:rPr>
            </w:pPr>
            <w:r>
              <w:rPr>
                <w:rFonts w:hint="eastAsia" w:ascii="宋体" w:hAnsi="宋体" w:cs="宋体"/>
                <w:color w:val="auto"/>
                <w:w w:val="90"/>
                <w:szCs w:val="21"/>
                <w:highlight w:val="none"/>
              </w:rPr>
              <w:t>★</w:t>
            </w:r>
            <w:r>
              <w:rPr>
                <w:rFonts w:hint="eastAsia" w:ascii="宋体" w:hAnsi="宋体" w:cs="宋体"/>
                <w:b/>
                <w:color w:val="auto"/>
                <w:w w:val="90"/>
                <w:szCs w:val="21"/>
                <w:highlight w:val="none"/>
              </w:rPr>
              <w:t>A0201060102激光打印机</w:t>
            </w:r>
          </w:p>
        </w:tc>
        <w:tc>
          <w:tcPr>
            <w:tcW w:w="3301" w:type="dxa"/>
            <w:vAlign w:val="center"/>
          </w:tcPr>
          <w:p>
            <w:pPr>
              <w:jc w:val="left"/>
              <w:rPr>
                <w:rFonts w:ascii="宋体" w:hAnsi="宋体" w:cs="宋体"/>
                <w:color w:val="auto"/>
                <w:w w:val="90"/>
                <w:szCs w:val="21"/>
                <w:highlight w:val="none"/>
              </w:rPr>
            </w:pPr>
            <w:r>
              <w:rPr>
                <w:rFonts w:hint="eastAsia" w:ascii="宋体" w:hAnsi="宋体" w:cs="宋体"/>
                <w:color w:val="auto"/>
                <w:w w:val="90"/>
                <w:szCs w:val="21"/>
                <w:highlight w:val="none"/>
              </w:rPr>
              <w:t>《复印机、打印机和传真机能效限定值及能效等级》（GB 21521）</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rFonts w:ascii="宋体" w:hAnsi="宋体" w:cs="宋体"/>
                <w:color w:val="auto"/>
                <w:w w:val="90"/>
                <w:szCs w:val="21"/>
                <w:highlight w:val="none"/>
              </w:rPr>
            </w:pPr>
          </w:p>
        </w:tc>
        <w:tc>
          <w:tcPr>
            <w:tcW w:w="1933" w:type="dxa"/>
            <w:vMerge w:val="continue"/>
            <w:vAlign w:val="center"/>
          </w:tcPr>
          <w:p>
            <w:pPr>
              <w:jc w:val="left"/>
              <w:rPr>
                <w:rFonts w:ascii="宋体" w:hAnsi="宋体" w:cs="宋体"/>
                <w:color w:val="auto"/>
                <w:w w:val="90"/>
                <w:szCs w:val="21"/>
                <w:highlight w:val="none"/>
              </w:rPr>
            </w:pPr>
          </w:p>
        </w:tc>
        <w:tc>
          <w:tcPr>
            <w:tcW w:w="2209" w:type="dxa"/>
            <w:vMerge w:val="continue"/>
            <w:vAlign w:val="center"/>
          </w:tcPr>
          <w:p>
            <w:pPr>
              <w:jc w:val="left"/>
              <w:rPr>
                <w:rFonts w:ascii="宋体" w:hAnsi="宋体" w:cs="宋体"/>
                <w:color w:val="auto"/>
                <w:w w:val="90"/>
                <w:szCs w:val="21"/>
                <w:highlight w:val="none"/>
              </w:rPr>
            </w:pPr>
          </w:p>
        </w:tc>
        <w:tc>
          <w:tcPr>
            <w:tcW w:w="1807" w:type="dxa"/>
            <w:vAlign w:val="center"/>
          </w:tcPr>
          <w:p>
            <w:pPr>
              <w:jc w:val="left"/>
              <w:rPr>
                <w:rFonts w:ascii="宋体" w:hAnsi="宋体" w:cs="宋体"/>
                <w:b/>
                <w:color w:val="auto"/>
                <w:w w:val="90"/>
                <w:szCs w:val="21"/>
                <w:highlight w:val="none"/>
              </w:rPr>
            </w:pPr>
            <w:r>
              <w:rPr>
                <w:rFonts w:hint="eastAsia" w:ascii="宋体" w:hAnsi="宋体" w:cs="宋体"/>
                <w:color w:val="auto"/>
                <w:w w:val="90"/>
                <w:szCs w:val="21"/>
                <w:highlight w:val="none"/>
              </w:rPr>
              <w:t>★</w:t>
            </w:r>
            <w:r>
              <w:rPr>
                <w:rFonts w:hint="eastAsia" w:ascii="宋体" w:hAnsi="宋体" w:cs="宋体"/>
                <w:b/>
                <w:color w:val="auto"/>
                <w:w w:val="90"/>
                <w:szCs w:val="21"/>
                <w:highlight w:val="none"/>
              </w:rPr>
              <w:t>A0201060104针式打印机</w:t>
            </w:r>
          </w:p>
        </w:tc>
        <w:tc>
          <w:tcPr>
            <w:tcW w:w="3301" w:type="dxa"/>
            <w:vAlign w:val="center"/>
          </w:tcPr>
          <w:p>
            <w:pPr>
              <w:jc w:val="left"/>
              <w:rPr>
                <w:rFonts w:ascii="宋体" w:hAnsi="宋体" w:cs="宋体"/>
                <w:color w:val="auto"/>
                <w:w w:val="90"/>
                <w:szCs w:val="21"/>
                <w:highlight w:val="none"/>
              </w:rPr>
            </w:pPr>
            <w:r>
              <w:rPr>
                <w:rFonts w:hint="eastAsia" w:ascii="宋体" w:hAnsi="宋体" w:cs="宋体"/>
                <w:color w:val="auto"/>
                <w:w w:val="90"/>
                <w:szCs w:val="21"/>
                <w:highlight w:val="none"/>
              </w:rPr>
              <w:t>《复印机、打印机和传真机能效限定值及能效等级》（GB 21521）</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rFonts w:ascii="宋体" w:hAnsi="宋体" w:cs="宋体"/>
                <w:color w:val="auto"/>
                <w:w w:val="90"/>
                <w:szCs w:val="21"/>
                <w:highlight w:val="none"/>
              </w:rPr>
            </w:pPr>
          </w:p>
        </w:tc>
        <w:tc>
          <w:tcPr>
            <w:tcW w:w="1933" w:type="dxa"/>
            <w:vMerge w:val="continue"/>
            <w:vAlign w:val="center"/>
          </w:tcPr>
          <w:p>
            <w:pPr>
              <w:jc w:val="left"/>
              <w:rPr>
                <w:rFonts w:ascii="宋体" w:hAnsi="宋体" w:cs="宋体"/>
                <w:color w:val="auto"/>
                <w:w w:val="90"/>
                <w:szCs w:val="21"/>
                <w:highlight w:val="none"/>
              </w:rPr>
            </w:pPr>
          </w:p>
        </w:tc>
        <w:tc>
          <w:tcPr>
            <w:tcW w:w="2209" w:type="dxa"/>
            <w:vAlign w:val="center"/>
          </w:tcPr>
          <w:p>
            <w:pPr>
              <w:jc w:val="left"/>
              <w:rPr>
                <w:rFonts w:ascii="宋体" w:hAnsi="宋体" w:cs="宋体"/>
                <w:color w:val="auto"/>
                <w:w w:val="90"/>
                <w:szCs w:val="21"/>
                <w:highlight w:val="none"/>
              </w:rPr>
            </w:pPr>
            <w:r>
              <w:rPr>
                <w:rFonts w:hint="eastAsia" w:ascii="宋体" w:hAnsi="宋体" w:cs="宋体"/>
                <w:color w:val="auto"/>
                <w:w w:val="90"/>
                <w:szCs w:val="21"/>
                <w:highlight w:val="none"/>
              </w:rPr>
              <w:t>A02010604显示设备</w:t>
            </w:r>
          </w:p>
        </w:tc>
        <w:tc>
          <w:tcPr>
            <w:tcW w:w="1807" w:type="dxa"/>
            <w:vAlign w:val="center"/>
          </w:tcPr>
          <w:p>
            <w:pPr>
              <w:jc w:val="left"/>
              <w:rPr>
                <w:rFonts w:ascii="宋体" w:hAnsi="宋体" w:cs="宋体"/>
                <w:b/>
                <w:color w:val="auto"/>
                <w:w w:val="90"/>
                <w:szCs w:val="21"/>
                <w:highlight w:val="none"/>
              </w:rPr>
            </w:pPr>
            <w:r>
              <w:rPr>
                <w:rFonts w:hint="eastAsia" w:ascii="宋体" w:hAnsi="宋体" w:cs="宋体"/>
                <w:color w:val="auto"/>
                <w:w w:val="90"/>
                <w:szCs w:val="21"/>
                <w:highlight w:val="none"/>
              </w:rPr>
              <w:t>★</w:t>
            </w:r>
            <w:r>
              <w:rPr>
                <w:rFonts w:hint="eastAsia" w:ascii="宋体" w:hAnsi="宋体" w:cs="宋体"/>
                <w:b/>
                <w:color w:val="auto"/>
                <w:w w:val="90"/>
                <w:szCs w:val="21"/>
                <w:highlight w:val="none"/>
              </w:rPr>
              <w:t>A0201060401液晶显示器</w:t>
            </w:r>
          </w:p>
        </w:tc>
        <w:tc>
          <w:tcPr>
            <w:tcW w:w="3301" w:type="dxa"/>
            <w:vAlign w:val="center"/>
          </w:tcPr>
          <w:p>
            <w:pPr>
              <w:jc w:val="left"/>
              <w:rPr>
                <w:rFonts w:ascii="宋体" w:hAnsi="宋体" w:cs="宋体"/>
                <w:color w:val="auto"/>
                <w:w w:val="90"/>
                <w:szCs w:val="21"/>
                <w:highlight w:val="none"/>
              </w:rPr>
            </w:pPr>
            <w:r>
              <w:rPr>
                <w:rFonts w:hint="eastAsia" w:ascii="宋体" w:hAnsi="宋体" w:cs="宋体"/>
                <w:color w:val="auto"/>
                <w:w w:val="90"/>
                <w:szCs w:val="21"/>
                <w:highlight w:val="none"/>
              </w:rPr>
              <w:t>《计算机显示器能效限定值及能效等级》（GB 21520）</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rFonts w:ascii="宋体" w:hAnsi="宋体" w:cs="宋体"/>
                <w:color w:val="auto"/>
                <w:w w:val="90"/>
                <w:szCs w:val="21"/>
                <w:highlight w:val="none"/>
              </w:rPr>
            </w:pPr>
          </w:p>
        </w:tc>
        <w:tc>
          <w:tcPr>
            <w:tcW w:w="1933" w:type="dxa"/>
            <w:vMerge w:val="continue"/>
            <w:vAlign w:val="center"/>
          </w:tcPr>
          <w:p>
            <w:pPr>
              <w:jc w:val="left"/>
              <w:rPr>
                <w:rFonts w:ascii="宋体" w:hAnsi="宋体" w:cs="宋体"/>
                <w:color w:val="auto"/>
                <w:w w:val="90"/>
                <w:szCs w:val="21"/>
                <w:highlight w:val="none"/>
              </w:rPr>
            </w:pPr>
          </w:p>
        </w:tc>
        <w:tc>
          <w:tcPr>
            <w:tcW w:w="2209" w:type="dxa"/>
            <w:vAlign w:val="center"/>
          </w:tcPr>
          <w:p>
            <w:pPr>
              <w:jc w:val="left"/>
              <w:rPr>
                <w:rFonts w:ascii="宋体" w:hAnsi="宋体" w:cs="宋体"/>
                <w:color w:val="auto"/>
                <w:w w:val="90"/>
                <w:szCs w:val="21"/>
                <w:highlight w:val="none"/>
              </w:rPr>
            </w:pPr>
            <w:r>
              <w:rPr>
                <w:rFonts w:hint="eastAsia" w:ascii="宋体" w:hAnsi="宋体" w:cs="宋体"/>
                <w:color w:val="auto"/>
                <w:w w:val="90"/>
                <w:szCs w:val="21"/>
                <w:highlight w:val="none"/>
              </w:rPr>
              <w:t>A02010609图形图像输入设备</w:t>
            </w:r>
          </w:p>
        </w:tc>
        <w:tc>
          <w:tcPr>
            <w:tcW w:w="1807" w:type="dxa"/>
            <w:vAlign w:val="center"/>
          </w:tcPr>
          <w:p>
            <w:pPr>
              <w:jc w:val="left"/>
              <w:rPr>
                <w:rFonts w:ascii="宋体" w:hAnsi="宋体" w:cs="宋体"/>
                <w:color w:val="auto"/>
                <w:w w:val="90"/>
                <w:szCs w:val="21"/>
                <w:highlight w:val="none"/>
              </w:rPr>
            </w:pPr>
            <w:r>
              <w:rPr>
                <w:rFonts w:hint="eastAsia" w:ascii="宋体" w:hAnsi="宋体" w:cs="宋体"/>
                <w:color w:val="auto"/>
                <w:w w:val="90"/>
                <w:szCs w:val="21"/>
                <w:highlight w:val="none"/>
              </w:rPr>
              <w:t>A0201060901扫描仪</w:t>
            </w:r>
          </w:p>
        </w:tc>
        <w:tc>
          <w:tcPr>
            <w:tcW w:w="3301" w:type="dxa"/>
            <w:vAlign w:val="center"/>
          </w:tcPr>
          <w:p>
            <w:pPr>
              <w:jc w:val="left"/>
              <w:rPr>
                <w:rFonts w:ascii="宋体" w:hAnsi="宋体" w:cs="宋体"/>
                <w:color w:val="auto"/>
                <w:w w:val="90"/>
                <w:szCs w:val="21"/>
                <w:highlight w:val="none"/>
              </w:rPr>
            </w:pPr>
            <w:r>
              <w:rPr>
                <w:rFonts w:hint="eastAsia" w:ascii="宋体" w:hAnsi="宋体" w:cs="宋体"/>
                <w:color w:val="auto"/>
                <w:w w:val="90"/>
                <w:szCs w:val="21"/>
                <w:highlight w:val="none"/>
              </w:rPr>
              <w:t>参照《复印机、打印机和传真机能效限定值及能效等级》（GB 21521中打印速度为 15 页/分的针式打印机相关要求</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Align w:val="center"/>
          </w:tcPr>
          <w:p>
            <w:pPr>
              <w:jc w:val="center"/>
              <w:rPr>
                <w:rFonts w:ascii="宋体" w:hAnsi="宋体" w:cs="宋体"/>
                <w:color w:val="auto"/>
                <w:w w:val="90"/>
                <w:szCs w:val="21"/>
                <w:highlight w:val="none"/>
              </w:rPr>
            </w:pPr>
            <w:r>
              <w:rPr>
                <w:rFonts w:hint="eastAsia" w:ascii="宋体" w:hAnsi="宋体" w:cs="宋体"/>
                <w:color w:val="auto"/>
                <w:w w:val="90"/>
                <w:szCs w:val="21"/>
                <w:highlight w:val="none"/>
              </w:rPr>
              <w:t>3</w:t>
            </w:r>
          </w:p>
        </w:tc>
        <w:tc>
          <w:tcPr>
            <w:tcW w:w="1933" w:type="dxa"/>
            <w:vAlign w:val="center"/>
          </w:tcPr>
          <w:p>
            <w:pPr>
              <w:jc w:val="left"/>
              <w:rPr>
                <w:rFonts w:ascii="宋体" w:hAnsi="宋体" w:cs="宋体"/>
                <w:color w:val="auto"/>
                <w:w w:val="90"/>
                <w:szCs w:val="21"/>
                <w:highlight w:val="none"/>
              </w:rPr>
            </w:pPr>
            <w:r>
              <w:rPr>
                <w:rFonts w:hint="eastAsia" w:ascii="宋体" w:hAnsi="宋体" w:cs="宋体"/>
                <w:color w:val="auto"/>
                <w:w w:val="90"/>
                <w:szCs w:val="21"/>
                <w:highlight w:val="none"/>
              </w:rPr>
              <w:t>A020202投影仪</w:t>
            </w:r>
          </w:p>
        </w:tc>
        <w:tc>
          <w:tcPr>
            <w:tcW w:w="2209" w:type="dxa"/>
            <w:vAlign w:val="center"/>
          </w:tcPr>
          <w:p>
            <w:pPr>
              <w:jc w:val="left"/>
              <w:rPr>
                <w:rFonts w:ascii="宋体" w:hAnsi="宋体" w:cs="宋体"/>
                <w:color w:val="auto"/>
                <w:w w:val="90"/>
                <w:szCs w:val="21"/>
                <w:highlight w:val="none"/>
              </w:rPr>
            </w:pPr>
          </w:p>
        </w:tc>
        <w:tc>
          <w:tcPr>
            <w:tcW w:w="1807" w:type="dxa"/>
            <w:vAlign w:val="center"/>
          </w:tcPr>
          <w:p>
            <w:pPr>
              <w:jc w:val="center"/>
              <w:rPr>
                <w:rFonts w:ascii="宋体" w:hAnsi="宋体" w:cs="宋体"/>
                <w:color w:val="auto"/>
                <w:w w:val="90"/>
                <w:szCs w:val="21"/>
                <w:highlight w:val="none"/>
              </w:rPr>
            </w:pPr>
          </w:p>
        </w:tc>
        <w:tc>
          <w:tcPr>
            <w:tcW w:w="3301" w:type="dxa"/>
            <w:vAlign w:val="center"/>
          </w:tcPr>
          <w:p>
            <w:pPr>
              <w:jc w:val="left"/>
              <w:rPr>
                <w:rFonts w:ascii="宋体" w:hAnsi="宋体" w:cs="宋体"/>
                <w:color w:val="auto"/>
                <w:w w:val="90"/>
                <w:szCs w:val="21"/>
                <w:highlight w:val="none"/>
              </w:rPr>
            </w:pPr>
            <w:r>
              <w:rPr>
                <w:rFonts w:hint="eastAsia" w:ascii="宋体" w:hAnsi="宋体" w:cs="宋体"/>
                <w:color w:val="auto"/>
                <w:w w:val="90"/>
                <w:szCs w:val="21"/>
                <w:highlight w:val="none"/>
              </w:rPr>
              <w:t>《投影机能效限定值及能效等级（GB 32028）</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Align w:val="center"/>
          </w:tcPr>
          <w:p>
            <w:pPr>
              <w:jc w:val="center"/>
              <w:rPr>
                <w:rFonts w:ascii="宋体" w:hAnsi="宋体" w:cs="宋体"/>
                <w:color w:val="auto"/>
                <w:w w:val="90"/>
                <w:szCs w:val="21"/>
                <w:highlight w:val="none"/>
              </w:rPr>
            </w:pPr>
            <w:r>
              <w:rPr>
                <w:rFonts w:hint="eastAsia" w:ascii="宋体" w:hAnsi="宋体" w:cs="宋体"/>
                <w:color w:val="auto"/>
                <w:w w:val="90"/>
                <w:szCs w:val="21"/>
                <w:highlight w:val="none"/>
              </w:rPr>
              <w:t>4</w:t>
            </w:r>
          </w:p>
        </w:tc>
        <w:tc>
          <w:tcPr>
            <w:tcW w:w="1933" w:type="dxa"/>
            <w:vAlign w:val="center"/>
          </w:tcPr>
          <w:p>
            <w:pPr>
              <w:jc w:val="left"/>
              <w:rPr>
                <w:rFonts w:ascii="宋体" w:hAnsi="宋体" w:cs="宋体"/>
                <w:color w:val="auto"/>
                <w:w w:val="90"/>
                <w:szCs w:val="21"/>
                <w:highlight w:val="none"/>
              </w:rPr>
            </w:pPr>
            <w:r>
              <w:rPr>
                <w:rFonts w:hint="eastAsia" w:ascii="宋体" w:hAnsi="宋体" w:cs="宋体"/>
                <w:color w:val="auto"/>
                <w:w w:val="90"/>
                <w:szCs w:val="21"/>
                <w:highlight w:val="none"/>
              </w:rPr>
              <w:t>A020204352多功能一体机</w:t>
            </w:r>
          </w:p>
        </w:tc>
        <w:tc>
          <w:tcPr>
            <w:tcW w:w="2209" w:type="dxa"/>
            <w:vAlign w:val="center"/>
          </w:tcPr>
          <w:p>
            <w:pPr>
              <w:jc w:val="left"/>
              <w:rPr>
                <w:rFonts w:ascii="宋体" w:hAnsi="宋体" w:cs="宋体"/>
                <w:color w:val="auto"/>
                <w:w w:val="90"/>
                <w:szCs w:val="21"/>
                <w:highlight w:val="none"/>
              </w:rPr>
            </w:pPr>
          </w:p>
        </w:tc>
        <w:tc>
          <w:tcPr>
            <w:tcW w:w="1807" w:type="dxa"/>
            <w:vAlign w:val="center"/>
          </w:tcPr>
          <w:p>
            <w:pPr>
              <w:jc w:val="center"/>
              <w:rPr>
                <w:rFonts w:ascii="宋体" w:hAnsi="宋体" w:cs="宋体"/>
                <w:color w:val="auto"/>
                <w:w w:val="90"/>
                <w:szCs w:val="21"/>
                <w:highlight w:val="none"/>
              </w:rPr>
            </w:pPr>
          </w:p>
        </w:tc>
        <w:tc>
          <w:tcPr>
            <w:tcW w:w="3301" w:type="dxa"/>
            <w:vAlign w:val="center"/>
          </w:tcPr>
          <w:p>
            <w:pPr>
              <w:jc w:val="left"/>
              <w:rPr>
                <w:rFonts w:ascii="宋体" w:hAnsi="宋体" w:cs="宋体"/>
                <w:color w:val="auto"/>
                <w:w w:val="90"/>
                <w:szCs w:val="21"/>
                <w:highlight w:val="none"/>
              </w:rPr>
            </w:pPr>
            <w:r>
              <w:rPr>
                <w:rFonts w:hint="eastAsia" w:ascii="宋体" w:hAnsi="宋体" w:cs="宋体"/>
                <w:color w:val="auto"/>
                <w:w w:val="90"/>
                <w:szCs w:val="21"/>
                <w:highlight w:val="none"/>
              </w:rPr>
              <w:t>《复印机、打印机和传真机能效限定值及能效等级》（GB 21521）</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Align w:val="center"/>
          </w:tcPr>
          <w:p>
            <w:pPr>
              <w:jc w:val="center"/>
              <w:rPr>
                <w:rFonts w:ascii="宋体" w:hAnsi="宋体" w:cs="宋体"/>
                <w:color w:val="auto"/>
                <w:w w:val="90"/>
                <w:szCs w:val="21"/>
                <w:highlight w:val="none"/>
              </w:rPr>
            </w:pPr>
            <w:r>
              <w:rPr>
                <w:rFonts w:hint="eastAsia" w:ascii="宋体" w:hAnsi="宋体" w:cs="宋体"/>
                <w:color w:val="auto"/>
                <w:w w:val="90"/>
                <w:szCs w:val="21"/>
                <w:highlight w:val="none"/>
              </w:rPr>
              <w:t>5</w:t>
            </w:r>
          </w:p>
        </w:tc>
        <w:tc>
          <w:tcPr>
            <w:tcW w:w="1933" w:type="dxa"/>
            <w:vAlign w:val="center"/>
          </w:tcPr>
          <w:p>
            <w:pPr>
              <w:jc w:val="left"/>
              <w:rPr>
                <w:rFonts w:ascii="宋体" w:hAnsi="宋体" w:cs="宋体"/>
                <w:color w:val="auto"/>
                <w:w w:val="90"/>
                <w:szCs w:val="21"/>
                <w:highlight w:val="none"/>
              </w:rPr>
            </w:pPr>
            <w:r>
              <w:rPr>
                <w:rFonts w:hint="eastAsia" w:ascii="宋体" w:hAnsi="宋体" w:cs="宋体"/>
                <w:color w:val="auto"/>
                <w:w w:val="90"/>
                <w:szCs w:val="21"/>
                <w:highlight w:val="none"/>
              </w:rPr>
              <w:t>A020519泵</w:t>
            </w:r>
          </w:p>
        </w:tc>
        <w:tc>
          <w:tcPr>
            <w:tcW w:w="2209" w:type="dxa"/>
            <w:vAlign w:val="center"/>
          </w:tcPr>
          <w:p>
            <w:pPr>
              <w:jc w:val="left"/>
              <w:rPr>
                <w:rFonts w:ascii="宋体" w:hAnsi="宋体" w:cs="宋体"/>
                <w:color w:val="auto"/>
                <w:w w:val="90"/>
                <w:szCs w:val="21"/>
                <w:highlight w:val="none"/>
              </w:rPr>
            </w:pPr>
            <w:r>
              <w:rPr>
                <w:rFonts w:hint="eastAsia" w:ascii="宋体" w:hAnsi="宋体" w:cs="宋体"/>
                <w:color w:val="auto"/>
                <w:w w:val="90"/>
                <w:szCs w:val="21"/>
                <w:highlight w:val="none"/>
              </w:rPr>
              <w:t>A02051901离心泵</w:t>
            </w:r>
          </w:p>
        </w:tc>
        <w:tc>
          <w:tcPr>
            <w:tcW w:w="1807" w:type="dxa"/>
            <w:vAlign w:val="center"/>
          </w:tcPr>
          <w:p>
            <w:pPr>
              <w:jc w:val="center"/>
              <w:rPr>
                <w:rFonts w:ascii="宋体" w:hAnsi="宋体" w:cs="宋体"/>
                <w:color w:val="auto"/>
                <w:w w:val="90"/>
                <w:szCs w:val="21"/>
                <w:highlight w:val="none"/>
              </w:rPr>
            </w:pPr>
          </w:p>
        </w:tc>
        <w:tc>
          <w:tcPr>
            <w:tcW w:w="3301" w:type="dxa"/>
            <w:vAlign w:val="center"/>
          </w:tcPr>
          <w:p>
            <w:pPr>
              <w:jc w:val="left"/>
              <w:rPr>
                <w:rFonts w:ascii="宋体" w:hAnsi="宋体" w:cs="宋体"/>
                <w:color w:val="auto"/>
                <w:w w:val="90"/>
                <w:szCs w:val="21"/>
                <w:highlight w:val="none"/>
              </w:rPr>
            </w:pPr>
            <w:r>
              <w:rPr>
                <w:rFonts w:hint="eastAsia" w:ascii="宋体" w:hAnsi="宋体" w:cs="宋体"/>
                <w:color w:val="auto"/>
                <w:w w:val="90"/>
                <w:szCs w:val="21"/>
                <w:highlight w:val="none"/>
              </w:rPr>
              <w:t>《清水离心泵能效限定值及节能评价值》（GB 19762）</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restart"/>
            <w:vAlign w:val="center"/>
          </w:tcPr>
          <w:p>
            <w:pPr>
              <w:jc w:val="center"/>
              <w:rPr>
                <w:rFonts w:ascii="宋体" w:hAnsi="宋体" w:cs="宋体"/>
                <w:color w:val="auto"/>
                <w:w w:val="90"/>
                <w:szCs w:val="21"/>
                <w:highlight w:val="none"/>
              </w:rPr>
            </w:pPr>
            <w:r>
              <w:rPr>
                <w:rFonts w:hint="eastAsia" w:ascii="宋体" w:hAnsi="宋体" w:cs="宋体"/>
                <w:color w:val="auto"/>
                <w:w w:val="90"/>
                <w:szCs w:val="21"/>
                <w:highlight w:val="none"/>
              </w:rPr>
              <w:t>6</w:t>
            </w:r>
          </w:p>
        </w:tc>
        <w:tc>
          <w:tcPr>
            <w:tcW w:w="1933" w:type="dxa"/>
            <w:vMerge w:val="restart"/>
            <w:vAlign w:val="center"/>
          </w:tcPr>
          <w:p>
            <w:pPr>
              <w:jc w:val="left"/>
              <w:rPr>
                <w:rFonts w:ascii="宋体" w:hAnsi="宋体" w:cs="宋体"/>
                <w:color w:val="auto"/>
                <w:w w:val="90"/>
                <w:szCs w:val="21"/>
                <w:highlight w:val="none"/>
              </w:rPr>
            </w:pPr>
            <w:r>
              <w:rPr>
                <w:rFonts w:hint="eastAsia" w:ascii="宋体" w:hAnsi="宋体" w:cs="宋体"/>
                <w:color w:val="auto"/>
                <w:w w:val="90"/>
                <w:szCs w:val="21"/>
                <w:highlight w:val="none"/>
              </w:rPr>
              <w:t>A020523制冷空调设备</w:t>
            </w:r>
          </w:p>
        </w:tc>
        <w:tc>
          <w:tcPr>
            <w:tcW w:w="2209" w:type="dxa"/>
            <w:vMerge w:val="restart"/>
            <w:vAlign w:val="center"/>
          </w:tcPr>
          <w:p>
            <w:pPr>
              <w:jc w:val="left"/>
              <w:rPr>
                <w:rFonts w:ascii="宋体" w:hAnsi="宋体" w:cs="宋体"/>
                <w:b/>
                <w:color w:val="auto"/>
                <w:w w:val="90"/>
                <w:szCs w:val="21"/>
                <w:highlight w:val="none"/>
              </w:rPr>
            </w:pPr>
            <w:r>
              <w:rPr>
                <w:rFonts w:hint="eastAsia" w:ascii="宋体" w:hAnsi="宋体" w:cs="宋体"/>
                <w:color w:val="auto"/>
                <w:w w:val="90"/>
                <w:szCs w:val="21"/>
                <w:highlight w:val="none"/>
              </w:rPr>
              <w:t>★</w:t>
            </w:r>
            <w:r>
              <w:rPr>
                <w:rFonts w:hint="eastAsia" w:ascii="宋体" w:hAnsi="宋体" w:cs="宋体"/>
                <w:b/>
                <w:color w:val="auto"/>
                <w:w w:val="90"/>
                <w:szCs w:val="21"/>
                <w:highlight w:val="none"/>
              </w:rPr>
              <w:t>A02052301制冷压缩机</w:t>
            </w:r>
          </w:p>
        </w:tc>
        <w:tc>
          <w:tcPr>
            <w:tcW w:w="1807" w:type="dxa"/>
            <w:vAlign w:val="center"/>
          </w:tcPr>
          <w:p>
            <w:pPr>
              <w:jc w:val="left"/>
              <w:rPr>
                <w:rFonts w:ascii="宋体" w:hAnsi="宋体" w:cs="宋体"/>
                <w:b/>
                <w:color w:val="auto"/>
                <w:w w:val="90"/>
                <w:szCs w:val="21"/>
                <w:highlight w:val="none"/>
              </w:rPr>
            </w:pPr>
            <w:r>
              <w:rPr>
                <w:rFonts w:hint="eastAsia" w:ascii="宋体" w:hAnsi="宋体" w:cs="宋体"/>
                <w:b/>
                <w:color w:val="auto"/>
                <w:w w:val="90"/>
                <w:szCs w:val="21"/>
                <w:highlight w:val="none"/>
              </w:rPr>
              <w:t>冷水机组</w:t>
            </w:r>
          </w:p>
        </w:tc>
        <w:tc>
          <w:tcPr>
            <w:tcW w:w="3301" w:type="dxa"/>
            <w:vAlign w:val="center"/>
          </w:tcPr>
          <w:p>
            <w:pPr>
              <w:jc w:val="left"/>
              <w:rPr>
                <w:rFonts w:ascii="宋体" w:hAnsi="宋体" w:cs="宋体"/>
                <w:color w:val="auto"/>
                <w:w w:val="90"/>
                <w:szCs w:val="21"/>
                <w:highlight w:val="none"/>
              </w:rPr>
            </w:pPr>
            <w:r>
              <w:rPr>
                <w:rFonts w:hint="eastAsia" w:ascii="宋体" w:hAnsi="宋体" w:cs="宋体"/>
                <w:color w:val="auto"/>
                <w:w w:val="90"/>
                <w:szCs w:val="21"/>
                <w:highlight w:val="none"/>
              </w:rPr>
              <w:t>《冷水机组能效限定值及能效等级》（GB 19577），《低环境温度空气源热泵（冷水）机组能效限定值及能效等级》（GB 37480）</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rFonts w:ascii="宋体" w:hAnsi="宋体" w:cs="宋体"/>
                <w:color w:val="auto"/>
                <w:w w:val="90"/>
                <w:szCs w:val="21"/>
                <w:highlight w:val="none"/>
              </w:rPr>
            </w:pPr>
          </w:p>
        </w:tc>
        <w:tc>
          <w:tcPr>
            <w:tcW w:w="1933" w:type="dxa"/>
            <w:vMerge w:val="continue"/>
            <w:vAlign w:val="center"/>
          </w:tcPr>
          <w:p>
            <w:pPr>
              <w:jc w:val="left"/>
              <w:rPr>
                <w:rFonts w:ascii="宋体" w:hAnsi="宋体" w:cs="宋体"/>
                <w:color w:val="auto"/>
                <w:w w:val="90"/>
                <w:szCs w:val="21"/>
                <w:highlight w:val="none"/>
              </w:rPr>
            </w:pPr>
          </w:p>
        </w:tc>
        <w:tc>
          <w:tcPr>
            <w:tcW w:w="2209" w:type="dxa"/>
            <w:vMerge w:val="continue"/>
            <w:vAlign w:val="center"/>
          </w:tcPr>
          <w:p>
            <w:pPr>
              <w:jc w:val="left"/>
              <w:rPr>
                <w:rFonts w:ascii="宋体" w:hAnsi="宋体" w:cs="宋体"/>
                <w:b/>
                <w:color w:val="auto"/>
                <w:w w:val="90"/>
                <w:szCs w:val="21"/>
                <w:highlight w:val="none"/>
              </w:rPr>
            </w:pPr>
          </w:p>
        </w:tc>
        <w:tc>
          <w:tcPr>
            <w:tcW w:w="1807" w:type="dxa"/>
            <w:vAlign w:val="center"/>
          </w:tcPr>
          <w:p>
            <w:pPr>
              <w:jc w:val="left"/>
              <w:rPr>
                <w:rFonts w:ascii="宋体" w:hAnsi="宋体" w:cs="宋体"/>
                <w:b/>
                <w:color w:val="auto"/>
                <w:w w:val="90"/>
                <w:szCs w:val="21"/>
                <w:highlight w:val="none"/>
              </w:rPr>
            </w:pPr>
            <w:r>
              <w:rPr>
                <w:rFonts w:hint="eastAsia" w:ascii="宋体" w:hAnsi="宋体" w:cs="宋体"/>
                <w:b/>
                <w:color w:val="auto"/>
                <w:w w:val="90"/>
                <w:szCs w:val="21"/>
                <w:highlight w:val="none"/>
              </w:rPr>
              <w:t>水源热泵机组</w:t>
            </w:r>
          </w:p>
        </w:tc>
        <w:tc>
          <w:tcPr>
            <w:tcW w:w="3301" w:type="dxa"/>
            <w:vAlign w:val="center"/>
          </w:tcPr>
          <w:p>
            <w:pPr>
              <w:jc w:val="left"/>
              <w:rPr>
                <w:rFonts w:ascii="宋体" w:hAnsi="宋体" w:cs="宋体"/>
                <w:color w:val="auto"/>
                <w:w w:val="90"/>
                <w:szCs w:val="21"/>
                <w:highlight w:val="none"/>
              </w:rPr>
            </w:pPr>
            <w:r>
              <w:rPr>
                <w:rFonts w:hint="eastAsia" w:ascii="宋体" w:hAnsi="宋体" w:cs="宋体"/>
                <w:color w:val="auto"/>
                <w:w w:val="90"/>
                <w:szCs w:val="21"/>
                <w:highlight w:val="none"/>
              </w:rPr>
              <w:t>《水（地）源热泵机组能效限定值及能效等级》（GB 30721）</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rFonts w:ascii="宋体" w:hAnsi="宋体" w:cs="宋体"/>
                <w:color w:val="auto"/>
                <w:w w:val="90"/>
                <w:szCs w:val="21"/>
                <w:highlight w:val="none"/>
              </w:rPr>
            </w:pPr>
          </w:p>
        </w:tc>
        <w:tc>
          <w:tcPr>
            <w:tcW w:w="1933" w:type="dxa"/>
            <w:vMerge w:val="continue"/>
            <w:vAlign w:val="center"/>
          </w:tcPr>
          <w:p>
            <w:pPr>
              <w:jc w:val="left"/>
              <w:rPr>
                <w:rFonts w:ascii="宋体" w:hAnsi="宋体" w:cs="宋体"/>
                <w:color w:val="auto"/>
                <w:w w:val="90"/>
                <w:szCs w:val="21"/>
                <w:highlight w:val="none"/>
              </w:rPr>
            </w:pPr>
          </w:p>
        </w:tc>
        <w:tc>
          <w:tcPr>
            <w:tcW w:w="2209" w:type="dxa"/>
            <w:vMerge w:val="continue"/>
            <w:vAlign w:val="center"/>
          </w:tcPr>
          <w:p>
            <w:pPr>
              <w:jc w:val="left"/>
              <w:rPr>
                <w:rFonts w:ascii="宋体" w:hAnsi="宋体" w:cs="宋体"/>
                <w:b/>
                <w:color w:val="auto"/>
                <w:w w:val="90"/>
                <w:szCs w:val="21"/>
                <w:highlight w:val="none"/>
              </w:rPr>
            </w:pPr>
          </w:p>
        </w:tc>
        <w:tc>
          <w:tcPr>
            <w:tcW w:w="1807" w:type="dxa"/>
            <w:vAlign w:val="center"/>
          </w:tcPr>
          <w:p>
            <w:pPr>
              <w:jc w:val="left"/>
              <w:rPr>
                <w:rFonts w:ascii="宋体" w:hAnsi="宋体" w:cs="宋体"/>
                <w:b/>
                <w:color w:val="auto"/>
                <w:w w:val="90"/>
                <w:szCs w:val="21"/>
                <w:highlight w:val="none"/>
              </w:rPr>
            </w:pPr>
            <w:r>
              <w:rPr>
                <w:rFonts w:hint="eastAsia" w:ascii="宋体" w:hAnsi="宋体" w:cs="宋体"/>
                <w:b/>
                <w:color w:val="auto"/>
                <w:w w:val="90"/>
                <w:szCs w:val="21"/>
                <w:highlight w:val="none"/>
              </w:rPr>
              <w:t>溴化锂吸收式冷水机组</w:t>
            </w:r>
          </w:p>
        </w:tc>
        <w:tc>
          <w:tcPr>
            <w:tcW w:w="3301" w:type="dxa"/>
            <w:vAlign w:val="center"/>
          </w:tcPr>
          <w:p>
            <w:pPr>
              <w:jc w:val="left"/>
              <w:rPr>
                <w:rFonts w:ascii="宋体" w:hAnsi="宋体" w:cs="宋体"/>
                <w:color w:val="auto"/>
                <w:w w:val="90"/>
                <w:szCs w:val="21"/>
                <w:highlight w:val="none"/>
              </w:rPr>
            </w:pPr>
            <w:r>
              <w:rPr>
                <w:rFonts w:hint="eastAsia" w:ascii="宋体" w:hAnsi="宋体" w:cs="宋体"/>
                <w:color w:val="auto"/>
                <w:w w:val="90"/>
                <w:szCs w:val="21"/>
                <w:highlight w:val="none"/>
              </w:rPr>
              <w:t>《溴化锂吸收式冷水机组能效限定值及能效等级》（GB 29540）</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rFonts w:ascii="宋体" w:hAnsi="宋体" w:cs="宋体"/>
                <w:color w:val="auto"/>
                <w:w w:val="90"/>
                <w:szCs w:val="21"/>
                <w:highlight w:val="none"/>
              </w:rPr>
            </w:pPr>
          </w:p>
        </w:tc>
        <w:tc>
          <w:tcPr>
            <w:tcW w:w="1933" w:type="dxa"/>
            <w:vMerge w:val="continue"/>
            <w:vAlign w:val="center"/>
          </w:tcPr>
          <w:p>
            <w:pPr>
              <w:jc w:val="left"/>
              <w:rPr>
                <w:rFonts w:ascii="宋体" w:hAnsi="宋体" w:cs="宋体"/>
                <w:color w:val="auto"/>
                <w:w w:val="90"/>
                <w:szCs w:val="21"/>
                <w:highlight w:val="none"/>
              </w:rPr>
            </w:pPr>
          </w:p>
        </w:tc>
        <w:tc>
          <w:tcPr>
            <w:tcW w:w="2209" w:type="dxa"/>
            <w:vMerge w:val="restart"/>
            <w:vAlign w:val="center"/>
          </w:tcPr>
          <w:p>
            <w:pPr>
              <w:jc w:val="left"/>
              <w:rPr>
                <w:rFonts w:ascii="宋体" w:hAnsi="宋体" w:cs="宋体"/>
                <w:b/>
                <w:color w:val="auto"/>
                <w:w w:val="90"/>
                <w:szCs w:val="21"/>
                <w:highlight w:val="none"/>
              </w:rPr>
            </w:pPr>
            <w:r>
              <w:rPr>
                <w:rFonts w:hint="eastAsia" w:ascii="宋体" w:hAnsi="宋体" w:cs="宋体"/>
                <w:color w:val="auto"/>
                <w:w w:val="90"/>
                <w:szCs w:val="21"/>
                <w:highlight w:val="none"/>
              </w:rPr>
              <w:t>★</w:t>
            </w:r>
            <w:r>
              <w:rPr>
                <w:rFonts w:hint="eastAsia" w:ascii="宋体" w:hAnsi="宋体" w:cs="宋体"/>
                <w:b/>
                <w:color w:val="auto"/>
                <w:w w:val="90"/>
                <w:szCs w:val="21"/>
                <w:highlight w:val="none"/>
              </w:rPr>
              <w:t>A02052305空调机组</w:t>
            </w:r>
          </w:p>
        </w:tc>
        <w:tc>
          <w:tcPr>
            <w:tcW w:w="1807" w:type="dxa"/>
            <w:vAlign w:val="center"/>
          </w:tcPr>
          <w:p>
            <w:pPr>
              <w:jc w:val="left"/>
              <w:rPr>
                <w:rFonts w:ascii="宋体" w:hAnsi="宋体" w:cs="宋体"/>
                <w:b/>
                <w:color w:val="auto"/>
                <w:w w:val="90"/>
                <w:szCs w:val="21"/>
                <w:highlight w:val="none"/>
              </w:rPr>
            </w:pPr>
            <w:r>
              <w:rPr>
                <w:rFonts w:hint="eastAsia" w:ascii="宋体" w:hAnsi="宋体" w:cs="宋体"/>
                <w:b/>
                <w:color w:val="auto"/>
                <w:w w:val="90"/>
                <w:szCs w:val="21"/>
                <w:highlight w:val="none"/>
              </w:rPr>
              <w:t>多联式空调（热泵）机组(制冷量&gt;14000W)</w:t>
            </w:r>
          </w:p>
        </w:tc>
        <w:tc>
          <w:tcPr>
            <w:tcW w:w="3301" w:type="dxa"/>
            <w:vAlign w:val="center"/>
          </w:tcPr>
          <w:p>
            <w:pPr>
              <w:jc w:val="left"/>
              <w:rPr>
                <w:rFonts w:ascii="宋体" w:hAnsi="宋体" w:cs="宋体"/>
                <w:color w:val="auto"/>
                <w:w w:val="90"/>
                <w:szCs w:val="21"/>
                <w:highlight w:val="none"/>
              </w:rPr>
            </w:pPr>
            <w:r>
              <w:rPr>
                <w:rFonts w:hint="eastAsia" w:ascii="宋体" w:hAnsi="宋体" w:cs="宋体"/>
                <w:color w:val="auto"/>
                <w:w w:val="90"/>
                <w:szCs w:val="21"/>
                <w:highlight w:val="none"/>
              </w:rPr>
              <w:t>《多联式空调（热泵）机组能效限定值及能源效率等级》（GB 21454）</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rFonts w:ascii="宋体" w:hAnsi="宋体" w:cs="宋体"/>
                <w:color w:val="auto"/>
                <w:w w:val="90"/>
                <w:szCs w:val="21"/>
                <w:highlight w:val="none"/>
              </w:rPr>
            </w:pPr>
          </w:p>
        </w:tc>
        <w:tc>
          <w:tcPr>
            <w:tcW w:w="1933" w:type="dxa"/>
            <w:vMerge w:val="continue"/>
            <w:vAlign w:val="center"/>
          </w:tcPr>
          <w:p>
            <w:pPr>
              <w:jc w:val="left"/>
              <w:rPr>
                <w:rFonts w:ascii="宋体" w:hAnsi="宋体" w:cs="宋体"/>
                <w:color w:val="auto"/>
                <w:w w:val="90"/>
                <w:szCs w:val="21"/>
                <w:highlight w:val="none"/>
              </w:rPr>
            </w:pPr>
          </w:p>
        </w:tc>
        <w:tc>
          <w:tcPr>
            <w:tcW w:w="2209" w:type="dxa"/>
            <w:vMerge w:val="continue"/>
            <w:vAlign w:val="center"/>
          </w:tcPr>
          <w:p>
            <w:pPr>
              <w:jc w:val="left"/>
              <w:rPr>
                <w:rFonts w:ascii="宋体" w:hAnsi="宋体" w:cs="宋体"/>
                <w:b/>
                <w:color w:val="auto"/>
                <w:w w:val="90"/>
                <w:szCs w:val="21"/>
                <w:highlight w:val="none"/>
              </w:rPr>
            </w:pPr>
          </w:p>
        </w:tc>
        <w:tc>
          <w:tcPr>
            <w:tcW w:w="1807" w:type="dxa"/>
            <w:vAlign w:val="center"/>
          </w:tcPr>
          <w:p>
            <w:pPr>
              <w:jc w:val="left"/>
              <w:rPr>
                <w:rFonts w:ascii="宋体" w:hAnsi="宋体" w:cs="宋体"/>
                <w:b/>
                <w:color w:val="auto"/>
                <w:w w:val="90"/>
                <w:szCs w:val="21"/>
                <w:highlight w:val="none"/>
              </w:rPr>
            </w:pPr>
            <w:r>
              <w:rPr>
                <w:rFonts w:hint="eastAsia" w:ascii="宋体" w:hAnsi="宋体" w:cs="宋体"/>
                <w:b/>
                <w:color w:val="auto"/>
                <w:w w:val="90"/>
                <w:szCs w:val="21"/>
                <w:highlight w:val="none"/>
              </w:rPr>
              <w:t>单元式空气调节机(制冷量&gt;14000W)</w:t>
            </w:r>
          </w:p>
        </w:tc>
        <w:tc>
          <w:tcPr>
            <w:tcW w:w="3301" w:type="dxa"/>
            <w:vAlign w:val="center"/>
          </w:tcPr>
          <w:p>
            <w:pPr>
              <w:jc w:val="left"/>
              <w:rPr>
                <w:rFonts w:ascii="宋体" w:hAnsi="宋体" w:cs="宋体"/>
                <w:color w:val="auto"/>
                <w:w w:val="90"/>
                <w:szCs w:val="21"/>
                <w:highlight w:val="none"/>
              </w:rPr>
            </w:pPr>
            <w:r>
              <w:rPr>
                <w:rFonts w:hint="eastAsia" w:ascii="宋体" w:hAnsi="宋体" w:cs="宋体"/>
                <w:color w:val="auto"/>
                <w:w w:val="90"/>
                <w:szCs w:val="21"/>
                <w:highlight w:val="none"/>
              </w:rPr>
              <w:t>《单元式空气调节机能效限定值及能效等级》（GB 19576）《风管送风式空调机组能效限定值及能效等级》（GB 37479）</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rFonts w:ascii="宋体" w:hAnsi="宋体" w:cs="宋体"/>
                <w:color w:val="auto"/>
                <w:w w:val="90"/>
                <w:szCs w:val="21"/>
                <w:highlight w:val="none"/>
              </w:rPr>
            </w:pPr>
          </w:p>
        </w:tc>
        <w:tc>
          <w:tcPr>
            <w:tcW w:w="1933" w:type="dxa"/>
            <w:vMerge w:val="continue"/>
            <w:vAlign w:val="center"/>
          </w:tcPr>
          <w:p>
            <w:pPr>
              <w:jc w:val="left"/>
              <w:rPr>
                <w:rFonts w:ascii="宋体" w:hAnsi="宋体" w:cs="宋体"/>
                <w:color w:val="auto"/>
                <w:w w:val="90"/>
                <w:szCs w:val="21"/>
                <w:highlight w:val="none"/>
              </w:rPr>
            </w:pPr>
          </w:p>
        </w:tc>
        <w:tc>
          <w:tcPr>
            <w:tcW w:w="2209" w:type="dxa"/>
            <w:vAlign w:val="center"/>
          </w:tcPr>
          <w:p>
            <w:pPr>
              <w:jc w:val="left"/>
              <w:rPr>
                <w:rFonts w:ascii="宋体" w:hAnsi="宋体" w:cs="宋体"/>
                <w:b/>
                <w:color w:val="auto"/>
                <w:w w:val="90"/>
                <w:szCs w:val="21"/>
                <w:highlight w:val="none"/>
              </w:rPr>
            </w:pPr>
            <w:r>
              <w:rPr>
                <w:rFonts w:hint="eastAsia" w:ascii="宋体" w:hAnsi="宋体" w:cs="宋体"/>
                <w:color w:val="auto"/>
                <w:w w:val="90"/>
                <w:szCs w:val="21"/>
                <w:highlight w:val="none"/>
              </w:rPr>
              <w:t>★</w:t>
            </w:r>
            <w:r>
              <w:rPr>
                <w:rFonts w:hint="eastAsia" w:ascii="宋体" w:hAnsi="宋体" w:cs="宋体"/>
                <w:b/>
                <w:color w:val="auto"/>
                <w:w w:val="90"/>
                <w:szCs w:val="21"/>
                <w:highlight w:val="none"/>
              </w:rPr>
              <w:t>A02052309专用制冷、空调设备</w:t>
            </w:r>
          </w:p>
        </w:tc>
        <w:tc>
          <w:tcPr>
            <w:tcW w:w="1807" w:type="dxa"/>
            <w:vAlign w:val="center"/>
          </w:tcPr>
          <w:p>
            <w:pPr>
              <w:jc w:val="left"/>
              <w:rPr>
                <w:rFonts w:ascii="宋体" w:hAnsi="宋体" w:cs="宋体"/>
                <w:b/>
                <w:color w:val="auto"/>
                <w:w w:val="90"/>
                <w:szCs w:val="21"/>
                <w:highlight w:val="none"/>
              </w:rPr>
            </w:pPr>
            <w:r>
              <w:rPr>
                <w:rFonts w:hint="eastAsia" w:ascii="宋体" w:hAnsi="宋体" w:cs="宋体"/>
                <w:b/>
                <w:color w:val="auto"/>
                <w:w w:val="90"/>
                <w:szCs w:val="21"/>
                <w:highlight w:val="none"/>
              </w:rPr>
              <w:t>机房空调</w:t>
            </w:r>
          </w:p>
        </w:tc>
        <w:tc>
          <w:tcPr>
            <w:tcW w:w="3301" w:type="dxa"/>
            <w:vAlign w:val="center"/>
          </w:tcPr>
          <w:p>
            <w:pPr>
              <w:jc w:val="left"/>
              <w:rPr>
                <w:rFonts w:ascii="宋体" w:hAnsi="宋体" w:cs="宋体"/>
                <w:color w:val="auto"/>
                <w:w w:val="90"/>
                <w:szCs w:val="21"/>
                <w:highlight w:val="none"/>
              </w:rPr>
            </w:pPr>
            <w:r>
              <w:rPr>
                <w:rFonts w:hint="eastAsia" w:ascii="宋体" w:hAnsi="宋体" w:cs="宋体"/>
                <w:color w:val="auto"/>
                <w:w w:val="90"/>
                <w:szCs w:val="21"/>
                <w:highlight w:val="none"/>
              </w:rPr>
              <w:t>《单元式空气调节机能效限定值及能效等级》（GB 19576）</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rFonts w:ascii="宋体" w:hAnsi="宋体" w:cs="宋体"/>
                <w:color w:val="auto"/>
                <w:w w:val="90"/>
                <w:szCs w:val="21"/>
                <w:highlight w:val="none"/>
              </w:rPr>
            </w:pPr>
          </w:p>
        </w:tc>
        <w:tc>
          <w:tcPr>
            <w:tcW w:w="1933" w:type="dxa"/>
            <w:vMerge w:val="continue"/>
            <w:vAlign w:val="center"/>
          </w:tcPr>
          <w:p>
            <w:pPr>
              <w:jc w:val="left"/>
              <w:rPr>
                <w:rFonts w:ascii="宋体" w:hAnsi="宋体" w:cs="宋体"/>
                <w:color w:val="auto"/>
                <w:w w:val="90"/>
                <w:szCs w:val="21"/>
                <w:highlight w:val="none"/>
              </w:rPr>
            </w:pPr>
          </w:p>
        </w:tc>
        <w:tc>
          <w:tcPr>
            <w:tcW w:w="2209" w:type="dxa"/>
            <w:vAlign w:val="center"/>
          </w:tcPr>
          <w:p>
            <w:pPr>
              <w:jc w:val="left"/>
              <w:rPr>
                <w:rFonts w:ascii="宋体" w:hAnsi="宋体" w:cs="宋体"/>
                <w:color w:val="auto"/>
                <w:w w:val="90"/>
                <w:szCs w:val="21"/>
                <w:highlight w:val="none"/>
              </w:rPr>
            </w:pPr>
            <w:r>
              <w:rPr>
                <w:rFonts w:hint="eastAsia" w:ascii="宋体" w:hAnsi="宋体" w:cs="宋体"/>
                <w:color w:val="auto"/>
                <w:w w:val="90"/>
                <w:szCs w:val="21"/>
                <w:highlight w:val="none"/>
              </w:rPr>
              <w:t>A02052399其他制冷空调设备</w:t>
            </w:r>
          </w:p>
        </w:tc>
        <w:tc>
          <w:tcPr>
            <w:tcW w:w="1807" w:type="dxa"/>
            <w:vAlign w:val="center"/>
          </w:tcPr>
          <w:p>
            <w:pPr>
              <w:jc w:val="left"/>
              <w:rPr>
                <w:rFonts w:ascii="宋体" w:hAnsi="宋体" w:cs="宋体"/>
                <w:color w:val="auto"/>
                <w:w w:val="90"/>
                <w:szCs w:val="21"/>
                <w:highlight w:val="none"/>
              </w:rPr>
            </w:pPr>
            <w:r>
              <w:rPr>
                <w:rFonts w:hint="eastAsia" w:ascii="宋体" w:hAnsi="宋体" w:cs="宋体"/>
                <w:color w:val="auto"/>
                <w:w w:val="90"/>
                <w:szCs w:val="21"/>
                <w:highlight w:val="none"/>
              </w:rPr>
              <w:t>冷却塔</w:t>
            </w:r>
          </w:p>
        </w:tc>
        <w:tc>
          <w:tcPr>
            <w:tcW w:w="3301" w:type="dxa"/>
            <w:vAlign w:val="center"/>
          </w:tcPr>
          <w:p>
            <w:pPr>
              <w:jc w:val="left"/>
              <w:rPr>
                <w:rFonts w:ascii="宋体" w:hAnsi="宋体" w:cs="宋体"/>
                <w:color w:val="auto"/>
                <w:w w:val="90"/>
                <w:szCs w:val="21"/>
                <w:highlight w:val="none"/>
              </w:rPr>
            </w:pPr>
            <w:r>
              <w:rPr>
                <w:rFonts w:hint="eastAsia" w:ascii="宋体" w:hAnsi="宋体" w:cs="宋体"/>
                <w:color w:val="auto"/>
                <w:w w:val="90"/>
                <w:szCs w:val="21"/>
                <w:highlight w:val="none"/>
              </w:rPr>
              <w:t>《机械通风冷却塔 第 1 部分：中小型开式冷却塔》（GB/T 7190.1）</w:t>
            </w:r>
          </w:p>
          <w:p>
            <w:pPr>
              <w:jc w:val="left"/>
              <w:rPr>
                <w:rFonts w:ascii="宋体" w:hAnsi="宋体" w:cs="宋体"/>
                <w:color w:val="auto"/>
                <w:w w:val="90"/>
                <w:szCs w:val="21"/>
                <w:highlight w:val="none"/>
              </w:rPr>
            </w:pPr>
            <w:r>
              <w:rPr>
                <w:rFonts w:hint="eastAsia" w:ascii="宋体" w:hAnsi="宋体" w:cs="宋体"/>
                <w:color w:val="auto"/>
                <w:w w:val="90"/>
                <w:szCs w:val="21"/>
                <w:highlight w:val="none"/>
              </w:rPr>
              <w:t>《机械通风冷却塔 第 2 部分：大型开式冷却塔》（GB/T 7190.2）</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Align w:val="center"/>
          </w:tcPr>
          <w:p>
            <w:pPr>
              <w:jc w:val="center"/>
              <w:rPr>
                <w:rFonts w:ascii="宋体" w:hAnsi="宋体" w:cs="宋体"/>
                <w:color w:val="auto"/>
                <w:w w:val="90"/>
                <w:szCs w:val="21"/>
                <w:highlight w:val="none"/>
              </w:rPr>
            </w:pPr>
            <w:r>
              <w:rPr>
                <w:rFonts w:hint="eastAsia" w:ascii="宋体" w:hAnsi="宋体" w:cs="宋体"/>
                <w:color w:val="auto"/>
                <w:w w:val="90"/>
                <w:szCs w:val="21"/>
                <w:highlight w:val="none"/>
              </w:rPr>
              <w:t>7</w:t>
            </w:r>
          </w:p>
        </w:tc>
        <w:tc>
          <w:tcPr>
            <w:tcW w:w="1933" w:type="dxa"/>
            <w:vAlign w:val="center"/>
          </w:tcPr>
          <w:p>
            <w:pPr>
              <w:jc w:val="left"/>
              <w:rPr>
                <w:rFonts w:ascii="宋体" w:hAnsi="宋体" w:cs="宋体"/>
                <w:color w:val="auto"/>
                <w:w w:val="90"/>
                <w:szCs w:val="21"/>
                <w:highlight w:val="none"/>
              </w:rPr>
            </w:pPr>
            <w:r>
              <w:rPr>
                <w:rFonts w:hint="eastAsia" w:ascii="宋体" w:hAnsi="宋体" w:cs="宋体"/>
                <w:color w:val="auto"/>
                <w:w w:val="90"/>
                <w:szCs w:val="21"/>
                <w:highlight w:val="none"/>
              </w:rPr>
              <w:t>A020601电机</w:t>
            </w:r>
          </w:p>
        </w:tc>
        <w:tc>
          <w:tcPr>
            <w:tcW w:w="2209" w:type="dxa"/>
            <w:vAlign w:val="center"/>
          </w:tcPr>
          <w:p>
            <w:pPr>
              <w:jc w:val="left"/>
              <w:rPr>
                <w:rFonts w:ascii="宋体" w:hAnsi="宋体" w:cs="宋体"/>
                <w:color w:val="auto"/>
                <w:w w:val="90"/>
                <w:szCs w:val="21"/>
                <w:highlight w:val="none"/>
              </w:rPr>
            </w:pPr>
          </w:p>
        </w:tc>
        <w:tc>
          <w:tcPr>
            <w:tcW w:w="1807" w:type="dxa"/>
            <w:vAlign w:val="center"/>
          </w:tcPr>
          <w:p>
            <w:pPr>
              <w:jc w:val="center"/>
              <w:rPr>
                <w:rFonts w:ascii="宋体" w:hAnsi="宋体" w:cs="宋体"/>
                <w:color w:val="auto"/>
                <w:w w:val="90"/>
                <w:szCs w:val="21"/>
                <w:highlight w:val="none"/>
              </w:rPr>
            </w:pPr>
          </w:p>
        </w:tc>
        <w:tc>
          <w:tcPr>
            <w:tcW w:w="3301" w:type="dxa"/>
            <w:vAlign w:val="center"/>
          </w:tcPr>
          <w:p>
            <w:pPr>
              <w:jc w:val="left"/>
              <w:rPr>
                <w:rFonts w:ascii="宋体" w:hAnsi="宋体" w:cs="宋体"/>
                <w:color w:val="auto"/>
                <w:w w:val="90"/>
                <w:szCs w:val="21"/>
                <w:highlight w:val="none"/>
              </w:rPr>
            </w:pPr>
            <w:r>
              <w:rPr>
                <w:rFonts w:hint="eastAsia" w:ascii="宋体" w:hAnsi="宋体" w:cs="宋体"/>
                <w:color w:val="auto"/>
                <w:w w:val="90"/>
                <w:szCs w:val="21"/>
                <w:highlight w:val="none"/>
              </w:rPr>
              <w:t>《中小型三相异步电动机能效限定值及能效等级》（GB 18613）</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Align w:val="center"/>
          </w:tcPr>
          <w:p>
            <w:pPr>
              <w:jc w:val="center"/>
              <w:rPr>
                <w:rFonts w:ascii="宋体" w:hAnsi="宋体" w:cs="宋体"/>
                <w:color w:val="auto"/>
                <w:w w:val="90"/>
                <w:szCs w:val="21"/>
                <w:highlight w:val="none"/>
              </w:rPr>
            </w:pPr>
            <w:r>
              <w:rPr>
                <w:rFonts w:hint="eastAsia" w:ascii="宋体" w:hAnsi="宋体" w:cs="宋体"/>
                <w:color w:val="auto"/>
                <w:w w:val="90"/>
                <w:szCs w:val="21"/>
                <w:highlight w:val="none"/>
              </w:rPr>
              <w:t>8</w:t>
            </w:r>
          </w:p>
        </w:tc>
        <w:tc>
          <w:tcPr>
            <w:tcW w:w="1933" w:type="dxa"/>
            <w:vAlign w:val="center"/>
          </w:tcPr>
          <w:p>
            <w:pPr>
              <w:jc w:val="left"/>
              <w:rPr>
                <w:rFonts w:ascii="宋体" w:hAnsi="宋体" w:cs="宋体"/>
                <w:color w:val="auto"/>
                <w:w w:val="90"/>
                <w:szCs w:val="21"/>
                <w:highlight w:val="none"/>
              </w:rPr>
            </w:pPr>
            <w:r>
              <w:rPr>
                <w:rFonts w:hint="eastAsia" w:ascii="宋体" w:hAnsi="宋体" w:cs="宋体"/>
                <w:color w:val="auto"/>
                <w:w w:val="90"/>
                <w:szCs w:val="21"/>
                <w:highlight w:val="none"/>
              </w:rPr>
              <w:t>A020602变压器</w:t>
            </w:r>
          </w:p>
        </w:tc>
        <w:tc>
          <w:tcPr>
            <w:tcW w:w="2209" w:type="dxa"/>
            <w:vAlign w:val="center"/>
          </w:tcPr>
          <w:p>
            <w:pPr>
              <w:jc w:val="left"/>
              <w:rPr>
                <w:rFonts w:ascii="宋体" w:hAnsi="宋体" w:cs="宋体"/>
                <w:color w:val="auto"/>
                <w:w w:val="90"/>
                <w:szCs w:val="21"/>
                <w:highlight w:val="none"/>
              </w:rPr>
            </w:pPr>
            <w:r>
              <w:rPr>
                <w:rFonts w:hint="eastAsia" w:ascii="宋体" w:hAnsi="宋体" w:cs="宋体"/>
                <w:color w:val="auto"/>
                <w:w w:val="90"/>
                <w:szCs w:val="21"/>
                <w:highlight w:val="none"/>
              </w:rPr>
              <w:t>配电变压器</w:t>
            </w:r>
          </w:p>
        </w:tc>
        <w:tc>
          <w:tcPr>
            <w:tcW w:w="1807" w:type="dxa"/>
            <w:vAlign w:val="center"/>
          </w:tcPr>
          <w:p>
            <w:pPr>
              <w:jc w:val="center"/>
              <w:rPr>
                <w:rFonts w:ascii="宋体" w:hAnsi="宋体" w:cs="宋体"/>
                <w:color w:val="auto"/>
                <w:w w:val="90"/>
                <w:szCs w:val="21"/>
                <w:highlight w:val="none"/>
              </w:rPr>
            </w:pPr>
          </w:p>
        </w:tc>
        <w:tc>
          <w:tcPr>
            <w:tcW w:w="3301" w:type="dxa"/>
            <w:vAlign w:val="center"/>
          </w:tcPr>
          <w:p>
            <w:pPr>
              <w:jc w:val="left"/>
              <w:rPr>
                <w:rFonts w:ascii="宋体" w:hAnsi="宋体" w:cs="宋体"/>
                <w:color w:val="auto"/>
                <w:w w:val="90"/>
                <w:szCs w:val="21"/>
                <w:highlight w:val="none"/>
              </w:rPr>
            </w:pPr>
            <w:r>
              <w:rPr>
                <w:rFonts w:hint="eastAsia" w:ascii="宋体" w:hAnsi="宋体" w:cs="宋体"/>
                <w:color w:val="auto"/>
                <w:w w:val="90"/>
                <w:szCs w:val="21"/>
                <w:highlight w:val="none"/>
              </w:rPr>
              <w:t>《三相配电变压器能效限定值及能效等级》（GB 20052）</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Align w:val="center"/>
          </w:tcPr>
          <w:p>
            <w:pPr>
              <w:jc w:val="center"/>
              <w:rPr>
                <w:rFonts w:ascii="宋体" w:hAnsi="宋体" w:cs="宋体"/>
                <w:color w:val="auto"/>
                <w:w w:val="90"/>
                <w:szCs w:val="21"/>
                <w:highlight w:val="none"/>
              </w:rPr>
            </w:pPr>
            <w:r>
              <w:rPr>
                <w:rFonts w:hint="eastAsia" w:ascii="宋体" w:hAnsi="宋体" w:cs="宋体"/>
                <w:color w:val="auto"/>
                <w:w w:val="90"/>
                <w:szCs w:val="21"/>
                <w:highlight w:val="none"/>
              </w:rPr>
              <w:t>9</w:t>
            </w:r>
          </w:p>
        </w:tc>
        <w:tc>
          <w:tcPr>
            <w:tcW w:w="1933" w:type="dxa"/>
            <w:vAlign w:val="center"/>
          </w:tcPr>
          <w:p>
            <w:pPr>
              <w:jc w:val="left"/>
              <w:rPr>
                <w:rFonts w:ascii="宋体" w:hAnsi="宋体" w:cs="宋体"/>
                <w:b/>
                <w:color w:val="auto"/>
                <w:w w:val="90"/>
                <w:szCs w:val="21"/>
                <w:highlight w:val="none"/>
              </w:rPr>
            </w:pPr>
            <w:r>
              <w:rPr>
                <w:rFonts w:hint="eastAsia" w:ascii="宋体" w:hAnsi="宋体" w:cs="宋体"/>
                <w:color w:val="auto"/>
                <w:w w:val="90"/>
                <w:szCs w:val="21"/>
                <w:highlight w:val="none"/>
              </w:rPr>
              <w:t>★</w:t>
            </w:r>
            <w:r>
              <w:rPr>
                <w:rFonts w:hint="eastAsia" w:ascii="宋体" w:hAnsi="宋体" w:cs="宋体"/>
                <w:b/>
                <w:color w:val="auto"/>
                <w:w w:val="90"/>
                <w:szCs w:val="21"/>
                <w:highlight w:val="none"/>
              </w:rPr>
              <w:t>A020609镇流器</w:t>
            </w:r>
          </w:p>
        </w:tc>
        <w:tc>
          <w:tcPr>
            <w:tcW w:w="2209" w:type="dxa"/>
            <w:vAlign w:val="center"/>
          </w:tcPr>
          <w:p>
            <w:pPr>
              <w:jc w:val="left"/>
              <w:rPr>
                <w:rFonts w:ascii="宋体" w:hAnsi="宋体" w:cs="宋体"/>
                <w:b/>
                <w:color w:val="auto"/>
                <w:w w:val="90"/>
                <w:szCs w:val="21"/>
                <w:highlight w:val="none"/>
              </w:rPr>
            </w:pPr>
            <w:r>
              <w:rPr>
                <w:rFonts w:hint="eastAsia" w:ascii="宋体" w:hAnsi="宋体" w:cs="宋体"/>
                <w:b/>
                <w:color w:val="auto"/>
                <w:w w:val="90"/>
                <w:szCs w:val="21"/>
                <w:highlight w:val="none"/>
              </w:rPr>
              <w:t>管型荧光灯镇流器</w:t>
            </w:r>
          </w:p>
        </w:tc>
        <w:tc>
          <w:tcPr>
            <w:tcW w:w="1807" w:type="dxa"/>
            <w:vAlign w:val="center"/>
          </w:tcPr>
          <w:p>
            <w:pPr>
              <w:jc w:val="center"/>
              <w:rPr>
                <w:rFonts w:ascii="宋体" w:hAnsi="宋体" w:cs="宋体"/>
                <w:color w:val="auto"/>
                <w:w w:val="90"/>
                <w:szCs w:val="21"/>
                <w:highlight w:val="none"/>
              </w:rPr>
            </w:pPr>
          </w:p>
        </w:tc>
        <w:tc>
          <w:tcPr>
            <w:tcW w:w="3301" w:type="dxa"/>
            <w:vAlign w:val="center"/>
          </w:tcPr>
          <w:p>
            <w:pPr>
              <w:jc w:val="left"/>
              <w:rPr>
                <w:rFonts w:ascii="宋体" w:hAnsi="宋体" w:cs="宋体"/>
                <w:color w:val="auto"/>
                <w:w w:val="90"/>
                <w:szCs w:val="21"/>
                <w:highlight w:val="none"/>
              </w:rPr>
            </w:pPr>
            <w:r>
              <w:rPr>
                <w:rFonts w:hint="eastAsia" w:ascii="宋体" w:hAnsi="宋体" w:cs="宋体"/>
                <w:color w:val="auto"/>
                <w:w w:val="90"/>
                <w:szCs w:val="21"/>
                <w:highlight w:val="none"/>
              </w:rPr>
              <w:t>《管形荧光灯镇流器能效限定值及能效等级》（GB 17896）</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restart"/>
            <w:vAlign w:val="center"/>
          </w:tcPr>
          <w:p>
            <w:pPr>
              <w:jc w:val="center"/>
              <w:rPr>
                <w:rFonts w:ascii="宋体" w:hAnsi="宋体" w:cs="宋体"/>
                <w:color w:val="auto"/>
                <w:w w:val="90"/>
                <w:szCs w:val="21"/>
                <w:highlight w:val="none"/>
              </w:rPr>
            </w:pPr>
            <w:r>
              <w:rPr>
                <w:rFonts w:hint="eastAsia" w:ascii="宋体" w:hAnsi="宋体" w:cs="宋体"/>
                <w:color w:val="auto"/>
                <w:w w:val="90"/>
                <w:szCs w:val="21"/>
                <w:highlight w:val="none"/>
              </w:rPr>
              <w:t>10</w:t>
            </w:r>
          </w:p>
        </w:tc>
        <w:tc>
          <w:tcPr>
            <w:tcW w:w="1933" w:type="dxa"/>
            <w:vMerge w:val="restart"/>
            <w:vAlign w:val="center"/>
          </w:tcPr>
          <w:p>
            <w:pPr>
              <w:jc w:val="left"/>
              <w:rPr>
                <w:rFonts w:ascii="宋体" w:hAnsi="宋体" w:cs="宋体"/>
                <w:color w:val="auto"/>
                <w:w w:val="90"/>
                <w:szCs w:val="21"/>
                <w:highlight w:val="none"/>
              </w:rPr>
            </w:pPr>
            <w:r>
              <w:rPr>
                <w:rFonts w:hint="eastAsia" w:ascii="宋体" w:hAnsi="宋体" w:cs="宋体"/>
                <w:color w:val="auto"/>
                <w:w w:val="90"/>
                <w:szCs w:val="21"/>
                <w:highlight w:val="none"/>
              </w:rPr>
              <w:t>A020618 生活用电器</w:t>
            </w:r>
          </w:p>
        </w:tc>
        <w:tc>
          <w:tcPr>
            <w:tcW w:w="2209" w:type="dxa"/>
            <w:vAlign w:val="center"/>
          </w:tcPr>
          <w:p>
            <w:pPr>
              <w:jc w:val="left"/>
              <w:rPr>
                <w:rFonts w:ascii="宋体" w:hAnsi="宋体" w:cs="宋体"/>
                <w:color w:val="auto"/>
                <w:w w:val="90"/>
                <w:szCs w:val="21"/>
                <w:highlight w:val="none"/>
              </w:rPr>
            </w:pPr>
            <w:r>
              <w:rPr>
                <w:rFonts w:hint="eastAsia" w:ascii="宋体" w:hAnsi="宋体" w:cs="宋体"/>
                <w:color w:val="auto"/>
                <w:w w:val="90"/>
                <w:szCs w:val="21"/>
                <w:highlight w:val="none"/>
              </w:rPr>
              <w:t>A0206180101电冰箱</w:t>
            </w:r>
          </w:p>
        </w:tc>
        <w:tc>
          <w:tcPr>
            <w:tcW w:w="1807" w:type="dxa"/>
            <w:vAlign w:val="center"/>
          </w:tcPr>
          <w:p>
            <w:pPr>
              <w:jc w:val="center"/>
              <w:rPr>
                <w:rFonts w:ascii="宋体" w:hAnsi="宋体" w:cs="宋体"/>
                <w:color w:val="auto"/>
                <w:w w:val="90"/>
                <w:szCs w:val="21"/>
                <w:highlight w:val="none"/>
              </w:rPr>
            </w:pPr>
          </w:p>
        </w:tc>
        <w:tc>
          <w:tcPr>
            <w:tcW w:w="3301" w:type="dxa"/>
            <w:vAlign w:val="center"/>
          </w:tcPr>
          <w:p>
            <w:pPr>
              <w:jc w:val="left"/>
              <w:rPr>
                <w:rFonts w:ascii="宋体" w:hAnsi="宋体" w:cs="宋体"/>
                <w:color w:val="auto"/>
                <w:w w:val="90"/>
                <w:szCs w:val="21"/>
                <w:highlight w:val="none"/>
              </w:rPr>
            </w:pPr>
            <w:r>
              <w:rPr>
                <w:rFonts w:hint="eastAsia" w:ascii="宋体" w:hAnsi="宋体" w:cs="宋体"/>
                <w:color w:val="auto"/>
                <w:w w:val="90"/>
                <w:szCs w:val="21"/>
                <w:highlight w:val="none"/>
              </w:rPr>
              <w:t>《家用电冰箱耗电量限定值及能效等级》（GB</w:t>
            </w:r>
            <w:r>
              <w:rPr>
                <w:rFonts w:hint="eastAsia" w:ascii="宋体" w:hAnsi="宋体" w:cs="宋体"/>
                <w:color w:val="auto"/>
                <w:w w:val="90"/>
                <w:szCs w:val="21"/>
                <w:highlight w:val="none"/>
              </w:rPr>
              <w:tab/>
            </w:r>
            <w:r>
              <w:rPr>
                <w:rFonts w:hint="eastAsia" w:ascii="宋体" w:hAnsi="宋体" w:cs="宋体"/>
                <w:color w:val="auto"/>
                <w:w w:val="90"/>
                <w:szCs w:val="21"/>
                <w:highlight w:val="none"/>
              </w:rPr>
              <w:t>12021.2）</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rFonts w:ascii="宋体" w:hAnsi="宋体" w:cs="宋体"/>
                <w:color w:val="auto"/>
                <w:w w:val="90"/>
                <w:szCs w:val="21"/>
                <w:highlight w:val="none"/>
              </w:rPr>
            </w:pPr>
          </w:p>
        </w:tc>
        <w:tc>
          <w:tcPr>
            <w:tcW w:w="1933" w:type="dxa"/>
            <w:vMerge w:val="continue"/>
            <w:vAlign w:val="center"/>
          </w:tcPr>
          <w:p>
            <w:pPr>
              <w:jc w:val="left"/>
              <w:rPr>
                <w:rFonts w:ascii="宋体" w:hAnsi="宋体" w:cs="宋体"/>
                <w:color w:val="auto"/>
                <w:w w:val="90"/>
                <w:szCs w:val="21"/>
                <w:highlight w:val="none"/>
              </w:rPr>
            </w:pPr>
          </w:p>
        </w:tc>
        <w:tc>
          <w:tcPr>
            <w:tcW w:w="2209" w:type="dxa"/>
            <w:vMerge w:val="restart"/>
            <w:vAlign w:val="center"/>
          </w:tcPr>
          <w:p>
            <w:pPr>
              <w:jc w:val="left"/>
              <w:rPr>
                <w:rFonts w:ascii="宋体" w:hAnsi="宋体" w:cs="宋体"/>
                <w:b/>
                <w:color w:val="auto"/>
                <w:w w:val="90"/>
                <w:szCs w:val="21"/>
                <w:highlight w:val="none"/>
              </w:rPr>
            </w:pPr>
            <w:r>
              <w:rPr>
                <w:rFonts w:hint="eastAsia" w:ascii="宋体" w:hAnsi="宋体" w:cs="宋体"/>
                <w:color w:val="auto"/>
                <w:w w:val="90"/>
                <w:szCs w:val="21"/>
                <w:highlight w:val="none"/>
              </w:rPr>
              <w:t>★</w:t>
            </w:r>
            <w:r>
              <w:rPr>
                <w:rFonts w:hint="eastAsia" w:ascii="宋体" w:hAnsi="宋体" w:cs="宋体"/>
                <w:b/>
                <w:color w:val="auto"/>
                <w:w w:val="90"/>
                <w:szCs w:val="21"/>
                <w:highlight w:val="none"/>
              </w:rPr>
              <w:t>A0206180203空调机</w:t>
            </w:r>
          </w:p>
        </w:tc>
        <w:tc>
          <w:tcPr>
            <w:tcW w:w="1807" w:type="dxa"/>
            <w:vAlign w:val="center"/>
          </w:tcPr>
          <w:p>
            <w:pPr>
              <w:jc w:val="left"/>
              <w:rPr>
                <w:rFonts w:ascii="宋体" w:hAnsi="宋体" w:cs="宋体"/>
                <w:b/>
                <w:color w:val="auto"/>
                <w:w w:val="90"/>
                <w:szCs w:val="21"/>
                <w:highlight w:val="none"/>
              </w:rPr>
            </w:pPr>
            <w:r>
              <w:rPr>
                <w:rFonts w:hint="eastAsia" w:ascii="宋体" w:hAnsi="宋体" w:cs="宋体"/>
                <w:b/>
                <w:color w:val="auto"/>
                <w:w w:val="90"/>
                <w:szCs w:val="21"/>
                <w:highlight w:val="none"/>
              </w:rPr>
              <w:t>房间空气调节器</w:t>
            </w:r>
          </w:p>
        </w:tc>
        <w:tc>
          <w:tcPr>
            <w:tcW w:w="3301" w:type="dxa"/>
            <w:vAlign w:val="center"/>
          </w:tcPr>
          <w:p>
            <w:pPr>
              <w:jc w:val="left"/>
              <w:rPr>
                <w:rFonts w:ascii="宋体" w:hAnsi="宋体" w:cs="宋体"/>
                <w:color w:val="auto"/>
                <w:w w:val="90"/>
                <w:szCs w:val="21"/>
                <w:highlight w:val="none"/>
              </w:rPr>
            </w:pPr>
            <w:r>
              <w:rPr>
                <w:rFonts w:hint="eastAsia" w:ascii="宋体" w:hAnsi="宋体" w:cs="宋体"/>
                <w:color w:val="auto"/>
                <w:w w:val="90"/>
                <w:szCs w:val="21"/>
                <w:highlight w:val="none"/>
              </w:rPr>
              <w:t>《转速可控型房间空气调节器能效限定值及能效等级》（GB 21455-2013），待2019年修订发布后，按《房间空气调节器能效限定值及能效等级》（GB21455-2019）实施。</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rFonts w:ascii="宋体" w:hAnsi="宋体" w:cs="宋体"/>
                <w:color w:val="auto"/>
                <w:w w:val="90"/>
                <w:szCs w:val="21"/>
                <w:highlight w:val="none"/>
              </w:rPr>
            </w:pPr>
          </w:p>
        </w:tc>
        <w:tc>
          <w:tcPr>
            <w:tcW w:w="1933" w:type="dxa"/>
            <w:vMerge w:val="continue"/>
            <w:vAlign w:val="center"/>
          </w:tcPr>
          <w:p>
            <w:pPr>
              <w:jc w:val="left"/>
              <w:rPr>
                <w:rFonts w:ascii="宋体" w:hAnsi="宋体" w:cs="宋体"/>
                <w:color w:val="auto"/>
                <w:w w:val="90"/>
                <w:szCs w:val="21"/>
                <w:highlight w:val="none"/>
              </w:rPr>
            </w:pPr>
          </w:p>
        </w:tc>
        <w:tc>
          <w:tcPr>
            <w:tcW w:w="2209" w:type="dxa"/>
            <w:vMerge w:val="continue"/>
            <w:vAlign w:val="center"/>
          </w:tcPr>
          <w:p>
            <w:pPr>
              <w:jc w:val="left"/>
              <w:rPr>
                <w:rFonts w:ascii="宋体" w:hAnsi="宋体" w:cs="宋体"/>
                <w:b/>
                <w:color w:val="auto"/>
                <w:w w:val="90"/>
                <w:szCs w:val="21"/>
                <w:highlight w:val="none"/>
              </w:rPr>
            </w:pPr>
          </w:p>
        </w:tc>
        <w:tc>
          <w:tcPr>
            <w:tcW w:w="1807" w:type="dxa"/>
            <w:vAlign w:val="center"/>
          </w:tcPr>
          <w:p>
            <w:pPr>
              <w:jc w:val="left"/>
              <w:rPr>
                <w:rFonts w:ascii="宋体" w:hAnsi="宋体" w:cs="宋体"/>
                <w:b/>
                <w:color w:val="auto"/>
                <w:w w:val="90"/>
                <w:szCs w:val="21"/>
                <w:highlight w:val="none"/>
              </w:rPr>
            </w:pPr>
            <w:r>
              <w:rPr>
                <w:rFonts w:hint="eastAsia" w:ascii="宋体" w:hAnsi="宋体" w:cs="宋体"/>
                <w:b/>
                <w:color w:val="auto"/>
                <w:w w:val="90"/>
                <w:szCs w:val="21"/>
                <w:highlight w:val="none"/>
              </w:rPr>
              <w:t>多联式空调（热泵）机组（制冷量≤ 14000W）</w:t>
            </w:r>
          </w:p>
        </w:tc>
        <w:tc>
          <w:tcPr>
            <w:tcW w:w="3301" w:type="dxa"/>
            <w:vAlign w:val="center"/>
          </w:tcPr>
          <w:p>
            <w:pPr>
              <w:jc w:val="left"/>
              <w:rPr>
                <w:rFonts w:ascii="宋体" w:hAnsi="宋体" w:cs="宋体"/>
                <w:color w:val="auto"/>
                <w:w w:val="90"/>
                <w:szCs w:val="21"/>
                <w:highlight w:val="none"/>
              </w:rPr>
            </w:pPr>
            <w:r>
              <w:rPr>
                <w:rFonts w:hint="eastAsia" w:ascii="宋体" w:hAnsi="宋体" w:cs="宋体"/>
                <w:color w:val="auto"/>
                <w:w w:val="90"/>
                <w:szCs w:val="21"/>
                <w:highlight w:val="none"/>
              </w:rPr>
              <w:t>《多联式空调（热泵）机组能效限定值及能源效率等级》（GB 21454）</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rFonts w:ascii="宋体" w:hAnsi="宋体" w:cs="宋体"/>
                <w:color w:val="auto"/>
                <w:w w:val="90"/>
                <w:szCs w:val="21"/>
                <w:highlight w:val="none"/>
              </w:rPr>
            </w:pPr>
          </w:p>
        </w:tc>
        <w:tc>
          <w:tcPr>
            <w:tcW w:w="1933" w:type="dxa"/>
            <w:vMerge w:val="continue"/>
            <w:vAlign w:val="center"/>
          </w:tcPr>
          <w:p>
            <w:pPr>
              <w:jc w:val="left"/>
              <w:rPr>
                <w:rFonts w:ascii="宋体" w:hAnsi="宋体" w:cs="宋体"/>
                <w:color w:val="auto"/>
                <w:w w:val="90"/>
                <w:szCs w:val="21"/>
                <w:highlight w:val="none"/>
              </w:rPr>
            </w:pPr>
          </w:p>
        </w:tc>
        <w:tc>
          <w:tcPr>
            <w:tcW w:w="2209" w:type="dxa"/>
            <w:vMerge w:val="continue"/>
            <w:vAlign w:val="center"/>
          </w:tcPr>
          <w:p>
            <w:pPr>
              <w:jc w:val="left"/>
              <w:rPr>
                <w:rFonts w:ascii="宋体" w:hAnsi="宋体" w:cs="宋体"/>
                <w:b/>
                <w:color w:val="auto"/>
                <w:w w:val="90"/>
                <w:szCs w:val="21"/>
                <w:highlight w:val="none"/>
              </w:rPr>
            </w:pPr>
          </w:p>
        </w:tc>
        <w:tc>
          <w:tcPr>
            <w:tcW w:w="1807" w:type="dxa"/>
            <w:vAlign w:val="center"/>
          </w:tcPr>
          <w:p>
            <w:pPr>
              <w:jc w:val="left"/>
              <w:rPr>
                <w:rFonts w:ascii="宋体" w:hAnsi="宋体" w:cs="宋体"/>
                <w:b/>
                <w:color w:val="auto"/>
                <w:w w:val="90"/>
                <w:szCs w:val="21"/>
                <w:highlight w:val="none"/>
              </w:rPr>
            </w:pPr>
            <w:r>
              <w:rPr>
                <w:rFonts w:hint="eastAsia" w:ascii="宋体" w:hAnsi="宋体" w:cs="宋体"/>
                <w:b/>
                <w:color w:val="auto"/>
                <w:w w:val="90"/>
                <w:szCs w:val="21"/>
                <w:highlight w:val="none"/>
              </w:rPr>
              <w:t>单元式空气调节机(制冷量≤14000W)</w:t>
            </w:r>
          </w:p>
        </w:tc>
        <w:tc>
          <w:tcPr>
            <w:tcW w:w="3301" w:type="dxa"/>
            <w:vAlign w:val="center"/>
          </w:tcPr>
          <w:p>
            <w:pPr>
              <w:jc w:val="left"/>
              <w:rPr>
                <w:rFonts w:ascii="宋体" w:hAnsi="宋体" w:cs="宋体"/>
                <w:color w:val="auto"/>
                <w:w w:val="90"/>
                <w:szCs w:val="21"/>
                <w:highlight w:val="none"/>
              </w:rPr>
            </w:pPr>
            <w:r>
              <w:rPr>
                <w:rFonts w:hint="eastAsia" w:ascii="宋体" w:hAnsi="宋体" w:cs="宋体"/>
                <w:color w:val="auto"/>
                <w:w w:val="90"/>
                <w:szCs w:val="21"/>
                <w:highlight w:val="none"/>
              </w:rPr>
              <w:t>《单元式空气调节机能效限定值及能源效率等级》（GB 19576）《风管送风式空调机组能效限定值及能效等级》（GB 37479）</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rFonts w:ascii="宋体" w:hAnsi="宋体" w:cs="宋体"/>
                <w:color w:val="auto"/>
                <w:w w:val="90"/>
                <w:szCs w:val="21"/>
                <w:highlight w:val="none"/>
              </w:rPr>
            </w:pPr>
          </w:p>
        </w:tc>
        <w:tc>
          <w:tcPr>
            <w:tcW w:w="1933" w:type="dxa"/>
            <w:vMerge w:val="continue"/>
            <w:vAlign w:val="center"/>
          </w:tcPr>
          <w:p>
            <w:pPr>
              <w:jc w:val="left"/>
              <w:rPr>
                <w:rFonts w:ascii="宋体" w:hAnsi="宋体" w:cs="宋体"/>
                <w:color w:val="auto"/>
                <w:w w:val="90"/>
                <w:szCs w:val="21"/>
                <w:highlight w:val="none"/>
              </w:rPr>
            </w:pPr>
          </w:p>
        </w:tc>
        <w:tc>
          <w:tcPr>
            <w:tcW w:w="2209" w:type="dxa"/>
            <w:vAlign w:val="center"/>
          </w:tcPr>
          <w:p>
            <w:pPr>
              <w:jc w:val="left"/>
              <w:rPr>
                <w:rFonts w:ascii="宋体" w:hAnsi="宋体" w:cs="宋体"/>
                <w:color w:val="auto"/>
                <w:w w:val="90"/>
                <w:szCs w:val="21"/>
                <w:highlight w:val="none"/>
              </w:rPr>
            </w:pPr>
            <w:r>
              <w:rPr>
                <w:rFonts w:hint="eastAsia" w:ascii="宋体" w:hAnsi="宋体" w:cs="宋体"/>
                <w:color w:val="auto"/>
                <w:w w:val="90"/>
                <w:szCs w:val="21"/>
                <w:highlight w:val="none"/>
              </w:rPr>
              <w:t>A0206180301洗衣机</w:t>
            </w:r>
          </w:p>
        </w:tc>
        <w:tc>
          <w:tcPr>
            <w:tcW w:w="1807" w:type="dxa"/>
            <w:vAlign w:val="center"/>
          </w:tcPr>
          <w:p>
            <w:pPr>
              <w:jc w:val="left"/>
              <w:rPr>
                <w:rFonts w:ascii="宋体" w:hAnsi="宋体" w:cs="宋体"/>
                <w:color w:val="auto"/>
                <w:w w:val="90"/>
                <w:szCs w:val="21"/>
                <w:highlight w:val="none"/>
              </w:rPr>
            </w:pPr>
          </w:p>
        </w:tc>
        <w:tc>
          <w:tcPr>
            <w:tcW w:w="3301" w:type="dxa"/>
            <w:vAlign w:val="center"/>
          </w:tcPr>
          <w:p>
            <w:pPr>
              <w:jc w:val="left"/>
              <w:rPr>
                <w:rFonts w:ascii="宋体" w:hAnsi="宋体" w:cs="宋体"/>
                <w:color w:val="auto"/>
                <w:w w:val="90"/>
                <w:szCs w:val="21"/>
                <w:highlight w:val="none"/>
              </w:rPr>
            </w:pPr>
            <w:r>
              <w:rPr>
                <w:rFonts w:hint="eastAsia" w:ascii="宋体" w:hAnsi="宋体" w:cs="宋体"/>
                <w:color w:val="auto"/>
                <w:w w:val="90"/>
                <w:szCs w:val="21"/>
                <w:highlight w:val="none"/>
              </w:rPr>
              <w:t>《电动洗衣机能效水效限定值及等级》（GB 12021.4）</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rFonts w:ascii="宋体" w:hAnsi="宋体" w:cs="宋体"/>
                <w:color w:val="auto"/>
                <w:w w:val="90"/>
                <w:szCs w:val="21"/>
                <w:highlight w:val="none"/>
              </w:rPr>
            </w:pPr>
          </w:p>
        </w:tc>
        <w:tc>
          <w:tcPr>
            <w:tcW w:w="1933" w:type="dxa"/>
            <w:vMerge w:val="continue"/>
            <w:vAlign w:val="center"/>
          </w:tcPr>
          <w:p>
            <w:pPr>
              <w:jc w:val="left"/>
              <w:rPr>
                <w:rFonts w:ascii="宋体" w:hAnsi="宋体" w:cs="宋体"/>
                <w:color w:val="auto"/>
                <w:w w:val="90"/>
                <w:szCs w:val="21"/>
                <w:highlight w:val="none"/>
              </w:rPr>
            </w:pPr>
          </w:p>
        </w:tc>
        <w:tc>
          <w:tcPr>
            <w:tcW w:w="2209" w:type="dxa"/>
            <w:vMerge w:val="restart"/>
            <w:vAlign w:val="center"/>
          </w:tcPr>
          <w:p>
            <w:pPr>
              <w:jc w:val="left"/>
              <w:rPr>
                <w:rFonts w:ascii="宋体" w:hAnsi="宋体" w:cs="宋体"/>
                <w:color w:val="auto"/>
                <w:w w:val="90"/>
                <w:szCs w:val="21"/>
                <w:highlight w:val="none"/>
              </w:rPr>
            </w:pPr>
            <w:r>
              <w:rPr>
                <w:rFonts w:hint="eastAsia" w:ascii="宋体" w:hAnsi="宋体" w:cs="宋体"/>
                <w:color w:val="auto"/>
                <w:w w:val="90"/>
                <w:szCs w:val="21"/>
                <w:highlight w:val="none"/>
              </w:rPr>
              <w:t>A02061808热水器</w:t>
            </w:r>
          </w:p>
        </w:tc>
        <w:tc>
          <w:tcPr>
            <w:tcW w:w="1807" w:type="dxa"/>
            <w:vAlign w:val="center"/>
          </w:tcPr>
          <w:p>
            <w:pPr>
              <w:jc w:val="left"/>
              <w:rPr>
                <w:rFonts w:ascii="宋体" w:hAnsi="宋体" w:cs="宋体"/>
                <w:color w:val="auto"/>
                <w:w w:val="90"/>
                <w:szCs w:val="21"/>
                <w:highlight w:val="none"/>
              </w:rPr>
            </w:pPr>
            <w:r>
              <w:rPr>
                <w:rFonts w:hint="eastAsia" w:ascii="宋体" w:hAnsi="宋体" w:cs="宋体"/>
                <w:color w:val="auto"/>
                <w:w w:val="90"/>
                <w:szCs w:val="21"/>
                <w:highlight w:val="none"/>
              </w:rPr>
              <w:t>★</w:t>
            </w:r>
            <w:r>
              <w:rPr>
                <w:rFonts w:hint="eastAsia" w:ascii="宋体" w:hAnsi="宋体" w:cs="宋体"/>
                <w:b/>
                <w:color w:val="auto"/>
                <w:w w:val="90"/>
                <w:szCs w:val="21"/>
                <w:highlight w:val="none"/>
              </w:rPr>
              <w:t>电热水器</w:t>
            </w:r>
          </w:p>
        </w:tc>
        <w:tc>
          <w:tcPr>
            <w:tcW w:w="3301" w:type="dxa"/>
            <w:vAlign w:val="center"/>
          </w:tcPr>
          <w:p>
            <w:pPr>
              <w:jc w:val="left"/>
              <w:rPr>
                <w:rFonts w:ascii="宋体" w:hAnsi="宋体" w:cs="宋体"/>
                <w:color w:val="auto"/>
                <w:w w:val="90"/>
                <w:szCs w:val="21"/>
                <w:highlight w:val="none"/>
              </w:rPr>
            </w:pPr>
            <w:r>
              <w:rPr>
                <w:rFonts w:hint="eastAsia" w:ascii="宋体" w:hAnsi="宋体" w:cs="宋体"/>
                <w:color w:val="auto"/>
                <w:w w:val="90"/>
                <w:szCs w:val="21"/>
                <w:highlight w:val="none"/>
              </w:rPr>
              <w:t>《储水式电热水器能效限定值及能效等级》（GB 21519）</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rFonts w:ascii="宋体" w:hAnsi="宋体" w:cs="宋体"/>
                <w:color w:val="auto"/>
                <w:w w:val="90"/>
                <w:szCs w:val="21"/>
                <w:highlight w:val="none"/>
              </w:rPr>
            </w:pPr>
          </w:p>
        </w:tc>
        <w:tc>
          <w:tcPr>
            <w:tcW w:w="1933" w:type="dxa"/>
            <w:vMerge w:val="continue"/>
            <w:vAlign w:val="center"/>
          </w:tcPr>
          <w:p>
            <w:pPr>
              <w:jc w:val="left"/>
              <w:rPr>
                <w:rFonts w:ascii="宋体" w:hAnsi="宋体" w:cs="宋体"/>
                <w:color w:val="auto"/>
                <w:w w:val="90"/>
                <w:szCs w:val="21"/>
                <w:highlight w:val="none"/>
              </w:rPr>
            </w:pPr>
          </w:p>
        </w:tc>
        <w:tc>
          <w:tcPr>
            <w:tcW w:w="2209" w:type="dxa"/>
            <w:vMerge w:val="continue"/>
            <w:vAlign w:val="center"/>
          </w:tcPr>
          <w:p>
            <w:pPr>
              <w:jc w:val="left"/>
              <w:rPr>
                <w:rFonts w:ascii="宋体" w:hAnsi="宋体" w:cs="宋体"/>
                <w:color w:val="auto"/>
                <w:w w:val="90"/>
                <w:szCs w:val="21"/>
                <w:highlight w:val="none"/>
              </w:rPr>
            </w:pPr>
          </w:p>
        </w:tc>
        <w:tc>
          <w:tcPr>
            <w:tcW w:w="1807" w:type="dxa"/>
            <w:vAlign w:val="center"/>
          </w:tcPr>
          <w:p>
            <w:pPr>
              <w:jc w:val="left"/>
              <w:rPr>
                <w:rFonts w:ascii="宋体" w:hAnsi="宋体" w:cs="宋体"/>
                <w:color w:val="auto"/>
                <w:w w:val="90"/>
                <w:szCs w:val="21"/>
                <w:highlight w:val="none"/>
              </w:rPr>
            </w:pPr>
            <w:r>
              <w:rPr>
                <w:rFonts w:hint="eastAsia" w:ascii="宋体" w:hAnsi="宋体" w:cs="宋体"/>
                <w:color w:val="auto"/>
                <w:w w:val="90"/>
                <w:szCs w:val="21"/>
                <w:highlight w:val="none"/>
              </w:rPr>
              <w:t>燃气热水器</w:t>
            </w:r>
          </w:p>
        </w:tc>
        <w:tc>
          <w:tcPr>
            <w:tcW w:w="3301" w:type="dxa"/>
            <w:vAlign w:val="center"/>
          </w:tcPr>
          <w:p>
            <w:pPr>
              <w:jc w:val="left"/>
              <w:rPr>
                <w:rFonts w:ascii="宋体" w:hAnsi="宋体" w:cs="宋体"/>
                <w:color w:val="auto"/>
                <w:w w:val="90"/>
                <w:szCs w:val="21"/>
                <w:highlight w:val="none"/>
              </w:rPr>
            </w:pPr>
            <w:r>
              <w:rPr>
                <w:rFonts w:hint="eastAsia" w:ascii="宋体" w:hAnsi="宋体" w:cs="宋体"/>
                <w:color w:val="auto"/>
                <w:w w:val="90"/>
                <w:szCs w:val="21"/>
                <w:highlight w:val="none"/>
              </w:rPr>
              <w:t>《家用燃气快速热水器和燃气采暖热水炉能效限定值及能效等级（GB 20665）</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rFonts w:ascii="宋体" w:hAnsi="宋体" w:cs="宋体"/>
                <w:color w:val="auto"/>
                <w:w w:val="90"/>
                <w:szCs w:val="21"/>
                <w:highlight w:val="none"/>
              </w:rPr>
            </w:pPr>
          </w:p>
        </w:tc>
        <w:tc>
          <w:tcPr>
            <w:tcW w:w="1933" w:type="dxa"/>
            <w:vMerge w:val="continue"/>
            <w:vAlign w:val="center"/>
          </w:tcPr>
          <w:p>
            <w:pPr>
              <w:jc w:val="left"/>
              <w:rPr>
                <w:rFonts w:ascii="宋体" w:hAnsi="宋体" w:cs="宋体"/>
                <w:color w:val="auto"/>
                <w:w w:val="90"/>
                <w:szCs w:val="21"/>
                <w:highlight w:val="none"/>
              </w:rPr>
            </w:pPr>
          </w:p>
        </w:tc>
        <w:tc>
          <w:tcPr>
            <w:tcW w:w="2209" w:type="dxa"/>
            <w:vMerge w:val="continue"/>
            <w:vAlign w:val="center"/>
          </w:tcPr>
          <w:p>
            <w:pPr>
              <w:jc w:val="left"/>
              <w:rPr>
                <w:rFonts w:ascii="宋体" w:hAnsi="宋体" w:cs="宋体"/>
                <w:color w:val="auto"/>
                <w:w w:val="90"/>
                <w:szCs w:val="21"/>
                <w:highlight w:val="none"/>
              </w:rPr>
            </w:pPr>
          </w:p>
        </w:tc>
        <w:tc>
          <w:tcPr>
            <w:tcW w:w="1807" w:type="dxa"/>
            <w:vAlign w:val="center"/>
          </w:tcPr>
          <w:p>
            <w:pPr>
              <w:jc w:val="left"/>
              <w:rPr>
                <w:rFonts w:ascii="宋体" w:hAnsi="宋体" w:cs="宋体"/>
                <w:color w:val="auto"/>
                <w:w w:val="90"/>
                <w:szCs w:val="21"/>
                <w:highlight w:val="none"/>
              </w:rPr>
            </w:pPr>
            <w:r>
              <w:rPr>
                <w:rFonts w:hint="eastAsia" w:ascii="宋体" w:hAnsi="宋体" w:cs="宋体"/>
                <w:color w:val="auto"/>
                <w:w w:val="90"/>
                <w:szCs w:val="21"/>
                <w:highlight w:val="none"/>
              </w:rPr>
              <w:t>热泵热水器</w:t>
            </w:r>
          </w:p>
        </w:tc>
        <w:tc>
          <w:tcPr>
            <w:tcW w:w="3301" w:type="dxa"/>
            <w:vAlign w:val="center"/>
          </w:tcPr>
          <w:p>
            <w:pPr>
              <w:jc w:val="left"/>
              <w:rPr>
                <w:rFonts w:ascii="宋体" w:hAnsi="宋体" w:cs="宋体"/>
                <w:color w:val="auto"/>
                <w:w w:val="90"/>
                <w:szCs w:val="21"/>
                <w:highlight w:val="none"/>
              </w:rPr>
            </w:pPr>
            <w:r>
              <w:rPr>
                <w:rFonts w:hint="eastAsia" w:ascii="宋体" w:hAnsi="宋体" w:cs="宋体"/>
                <w:color w:val="auto"/>
                <w:w w:val="90"/>
                <w:szCs w:val="21"/>
                <w:highlight w:val="none"/>
              </w:rPr>
              <w:t>《热泵热水机（器）能效限定值及能效等级》（GB 29541）</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rFonts w:ascii="宋体" w:hAnsi="宋体" w:cs="宋体"/>
                <w:color w:val="auto"/>
                <w:w w:val="90"/>
                <w:szCs w:val="21"/>
                <w:highlight w:val="none"/>
              </w:rPr>
            </w:pPr>
          </w:p>
        </w:tc>
        <w:tc>
          <w:tcPr>
            <w:tcW w:w="1933" w:type="dxa"/>
            <w:vMerge w:val="continue"/>
            <w:vAlign w:val="center"/>
          </w:tcPr>
          <w:p>
            <w:pPr>
              <w:jc w:val="left"/>
              <w:rPr>
                <w:rFonts w:ascii="宋体" w:hAnsi="宋体" w:cs="宋体"/>
                <w:color w:val="auto"/>
                <w:w w:val="90"/>
                <w:szCs w:val="21"/>
                <w:highlight w:val="none"/>
              </w:rPr>
            </w:pPr>
          </w:p>
        </w:tc>
        <w:tc>
          <w:tcPr>
            <w:tcW w:w="2209" w:type="dxa"/>
            <w:vMerge w:val="continue"/>
            <w:vAlign w:val="center"/>
          </w:tcPr>
          <w:p>
            <w:pPr>
              <w:jc w:val="left"/>
              <w:rPr>
                <w:rFonts w:ascii="宋体" w:hAnsi="宋体" w:cs="宋体"/>
                <w:color w:val="auto"/>
                <w:w w:val="90"/>
                <w:szCs w:val="21"/>
                <w:highlight w:val="none"/>
              </w:rPr>
            </w:pPr>
          </w:p>
        </w:tc>
        <w:tc>
          <w:tcPr>
            <w:tcW w:w="1807" w:type="dxa"/>
            <w:vAlign w:val="center"/>
          </w:tcPr>
          <w:p>
            <w:pPr>
              <w:jc w:val="left"/>
              <w:rPr>
                <w:rFonts w:ascii="宋体" w:hAnsi="宋体" w:cs="宋体"/>
                <w:color w:val="auto"/>
                <w:w w:val="90"/>
                <w:szCs w:val="21"/>
                <w:highlight w:val="none"/>
              </w:rPr>
            </w:pPr>
            <w:r>
              <w:rPr>
                <w:rFonts w:hint="eastAsia" w:ascii="宋体" w:hAnsi="宋体" w:cs="宋体"/>
                <w:color w:val="auto"/>
                <w:w w:val="90"/>
                <w:szCs w:val="21"/>
                <w:highlight w:val="none"/>
              </w:rPr>
              <w:t>太阳能热水系统</w:t>
            </w:r>
          </w:p>
        </w:tc>
        <w:tc>
          <w:tcPr>
            <w:tcW w:w="3301" w:type="dxa"/>
            <w:vAlign w:val="center"/>
          </w:tcPr>
          <w:p>
            <w:pPr>
              <w:jc w:val="left"/>
              <w:rPr>
                <w:rFonts w:ascii="宋体" w:hAnsi="宋体" w:cs="宋体"/>
                <w:color w:val="auto"/>
                <w:w w:val="90"/>
                <w:szCs w:val="21"/>
                <w:highlight w:val="none"/>
              </w:rPr>
            </w:pPr>
            <w:r>
              <w:rPr>
                <w:rFonts w:hint="eastAsia" w:ascii="宋体" w:hAnsi="宋体" w:cs="宋体"/>
                <w:color w:val="auto"/>
                <w:w w:val="90"/>
                <w:szCs w:val="21"/>
                <w:highlight w:val="none"/>
              </w:rPr>
              <w:t>《家用太阳能热水系统能效限定值及能效等级》（GB 26969）</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restart"/>
            <w:vAlign w:val="center"/>
          </w:tcPr>
          <w:p>
            <w:pPr>
              <w:jc w:val="center"/>
              <w:rPr>
                <w:rFonts w:ascii="宋体" w:hAnsi="宋体" w:cs="宋体"/>
                <w:color w:val="auto"/>
                <w:w w:val="90"/>
                <w:szCs w:val="21"/>
                <w:highlight w:val="none"/>
              </w:rPr>
            </w:pPr>
            <w:r>
              <w:rPr>
                <w:rFonts w:hint="eastAsia" w:ascii="宋体" w:hAnsi="宋体" w:cs="宋体"/>
                <w:color w:val="auto"/>
                <w:w w:val="90"/>
                <w:szCs w:val="21"/>
                <w:highlight w:val="none"/>
              </w:rPr>
              <w:t>11</w:t>
            </w:r>
          </w:p>
        </w:tc>
        <w:tc>
          <w:tcPr>
            <w:tcW w:w="1933" w:type="dxa"/>
            <w:vMerge w:val="restart"/>
            <w:vAlign w:val="center"/>
          </w:tcPr>
          <w:p>
            <w:pPr>
              <w:jc w:val="left"/>
              <w:rPr>
                <w:rFonts w:ascii="宋体" w:hAnsi="宋体" w:cs="宋体"/>
                <w:color w:val="auto"/>
                <w:w w:val="90"/>
                <w:szCs w:val="21"/>
                <w:highlight w:val="none"/>
              </w:rPr>
            </w:pPr>
            <w:r>
              <w:rPr>
                <w:rFonts w:hint="eastAsia" w:ascii="宋体" w:hAnsi="宋体" w:cs="宋体"/>
                <w:color w:val="auto"/>
                <w:w w:val="90"/>
                <w:szCs w:val="21"/>
                <w:highlight w:val="none"/>
              </w:rPr>
              <w:t>A020619 照明设备</w:t>
            </w:r>
          </w:p>
        </w:tc>
        <w:tc>
          <w:tcPr>
            <w:tcW w:w="2209" w:type="dxa"/>
            <w:vAlign w:val="center"/>
          </w:tcPr>
          <w:p>
            <w:pPr>
              <w:jc w:val="left"/>
              <w:rPr>
                <w:rFonts w:ascii="宋体" w:hAnsi="宋体" w:cs="宋体"/>
                <w:b/>
                <w:color w:val="auto"/>
                <w:w w:val="90"/>
                <w:szCs w:val="21"/>
                <w:highlight w:val="none"/>
              </w:rPr>
            </w:pPr>
            <w:r>
              <w:rPr>
                <w:rFonts w:hint="eastAsia" w:ascii="宋体" w:hAnsi="宋体" w:cs="宋体"/>
                <w:color w:val="auto"/>
                <w:w w:val="90"/>
                <w:szCs w:val="21"/>
                <w:highlight w:val="none"/>
              </w:rPr>
              <w:t>★</w:t>
            </w:r>
            <w:r>
              <w:rPr>
                <w:rFonts w:hint="eastAsia" w:ascii="宋体" w:hAnsi="宋体" w:cs="宋体"/>
                <w:b/>
                <w:color w:val="auto"/>
                <w:w w:val="90"/>
                <w:szCs w:val="21"/>
                <w:highlight w:val="none"/>
              </w:rPr>
              <w:t>普通照明用双端荧光灯</w:t>
            </w:r>
          </w:p>
        </w:tc>
        <w:tc>
          <w:tcPr>
            <w:tcW w:w="1807" w:type="dxa"/>
            <w:vAlign w:val="center"/>
          </w:tcPr>
          <w:p>
            <w:pPr>
              <w:jc w:val="center"/>
              <w:rPr>
                <w:rFonts w:ascii="宋体" w:hAnsi="宋体" w:cs="宋体"/>
                <w:color w:val="auto"/>
                <w:w w:val="90"/>
                <w:szCs w:val="21"/>
                <w:highlight w:val="none"/>
              </w:rPr>
            </w:pPr>
          </w:p>
        </w:tc>
        <w:tc>
          <w:tcPr>
            <w:tcW w:w="3301" w:type="dxa"/>
            <w:vAlign w:val="center"/>
          </w:tcPr>
          <w:p>
            <w:pPr>
              <w:jc w:val="left"/>
              <w:rPr>
                <w:rFonts w:ascii="宋体" w:hAnsi="宋体" w:cs="宋体"/>
                <w:color w:val="auto"/>
                <w:w w:val="90"/>
                <w:szCs w:val="21"/>
                <w:highlight w:val="none"/>
              </w:rPr>
            </w:pPr>
            <w:r>
              <w:rPr>
                <w:rFonts w:hint="eastAsia" w:ascii="宋体" w:hAnsi="宋体" w:cs="宋体"/>
                <w:color w:val="auto"/>
                <w:w w:val="90"/>
                <w:szCs w:val="21"/>
                <w:highlight w:val="none"/>
              </w:rPr>
              <w:t>《普通照明用双端荧光灯能效限定值及能效等级》（GB 19043）</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rFonts w:ascii="宋体" w:hAnsi="宋体" w:cs="宋体"/>
                <w:color w:val="auto"/>
                <w:w w:val="90"/>
                <w:szCs w:val="21"/>
                <w:highlight w:val="none"/>
              </w:rPr>
            </w:pPr>
          </w:p>
        </w:tc>
        <w:tc>
          <w:tcPr>
            <w:tcW w:w="1933" w:type="dxa"/>
            <w:vMerge w:val="continue"/>
            <w:vAlign w:val="center"/>
          </w:tcPr>
          <w:p>
            <w:pPr>
              <w:jc w:val="left"/>
              <w:rPr>
                <w:rFonts w:ascii="宋体" w:hAnsi="宋体" w:cs="宋体"/>
                <w:color w:val="auto"/>
                <w:w w:val="90"/>
                <w:szCs w:val="21"/>
                <w:highlight w:val="none"/>
              </w:rPr>
            </w:pPr>
          </w:p>
        </w:tc>
        <w:tc>
          <w:tcPr>
            <w:tcW w:w="2209" w:type="dxa"/>
            <w:vAlign w:val="center"/>
          </w:tcPr>
          <w:p>
            <w:pPr>
              <w:jc w:val="left"/>
              <w:rPr>
                <w:rFonts w:ascii="宋体" w:hAnsi="宋体" w:cs="宋体"/>
                <w:color w:val="auto"/>
                <w:w w:val="90"/>
                <w:szCs w:val="21"/>
                <w:highlight w:val="none"/>
              </w:rPr>
            </w:pPr>
            <w:r>
              <w:rPr>
                <w:rFonts w:hint="eastAsia" w:ascii="宋体" w:hAnsi="宋体" w:cs="宋体"/>
                <w:color w:val="auto"/>
                <w:w w:val="90"/>
                <w:szCs w:val="21"/>
                <w:highlight w:val="none"/>
              </w:rPr>
              <w:t>LED道路/隧道照明产品</w:t>
            </w:r>
          </w:p>
        </w:tc>
        <w:tc>
          <w:tcPr>
            <w:tcW w:w="1807" w:type="dxa"/>
            <w:vAlign w:val="center"/>
          </w:tcPr>
          <w:p>
            <w:pPr>
              <w:jc w:val="center"/>
              <w:rPr>
                <w:rFonts w:ascii="宋体" w:hAnsi="宋体" w:cs="宋体"/>
                <w:color w:val="auto"/>
                <w:w w:val="90"/>
                <w:szCs w:val="21"/>
                <w:highlight w:val="none"/>
              </w:rPr>
            </w:pPr>
          </w:p>
        </w:tc>
        <w:tc>
          <w:tcPr>
            <w:tcW w:w="3301" w:type="dxa"/>
            <w:vAlign w:val="center"/>
          </w:tcPr>
          <w:p>
            <w:pPr>
              <w:jc w:val="left"/>
              <w:rPr>
                <w:rFonts w:ascii="宋体" w:hAnsi="宋体" w:cs="宋体"/>
                <w:color w:val="auto"/>
                <w:w w:val="90"/>
                <w:szCs w:val="21"/>
                <w:highlight w:val="none"/>
              </w:rPr>
            </w:pPr>
            <w:r>
              <w:rPr>
                <w:rFonts w:hint="eastAsia" w:ascii="宋体" w:hAnsi="宋体" w:cs="宋体"/>
                <w:color w:val="auto"/>
                <w:w w:val="90"/>
                <w:szCs w:val="21"/>
                <w:highlight w:val="none"/>
              </w:rPr>
              <w:t>《道路和隧道照明用LED灯具能效限定值及能效等级》（GB 37478）</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rFonts w:ascii="宋体" w:hAnsi="宋体" w:cs="宋体"/>
                <w:color w:val="auto"/>
                <w:w w:val="90"/>
                <w:szCs w:val="21"/>
                <w:highlight w:val="none"/>
              </w:rPr>
            </w:pPr>
          </w:p>
        </w:tc>
        <w:tc>
          <w:tcPr>
            <w:tcW w:w="1933" w:type="dxa"/>
            <w:vMerge w:val="continue"/>
            <w:vAlign w:val="center"/>
          </w:tcPr>
          <w:p>
            <w:pPr>
              <w:jc w:val="left"/>
              <w:rPr>
                <w:rFonts w:ascii="宋体" w:hAnsi="宋体" w:cs="宋体"/>
                <w:color w:val="auto"/>
                <w:w w:val="90"/>
                <w:szCs w:val="21"/>
                <w:highlight w:val="none"/>
              </w:rPr>
            </w:pPr>
          </w:p>
        </w:tc>
        <w:tc>
          <w:tcPr>
            <w:tcW w:w="2209" w:type="dxa"/>
            <w:vAlign w:val="center"/>
          </w:tcPr>
          <w:p>
            <w:pPr>
              <w:jc w:val="left"/>
              <w:rPr>
                <w:rFonts w:ascii="宋体" w:hAnsi="宋体" w:cs="宋体"/>
                <w:color w:val="auto"/>
                <w:w w:val="90"/>
                <w:szCs w:val="21"/>
                <w:highlight w:val="none"/>
              </w:rPr>
            </w:pPr>
            <w:r>
              <w:rPr>
                <w:rFonts w:hint="eastAsia" w:ascii="宋体" w:hAnsi="宋体" w:cs="宋体"/>
                <w:color w:val="auto"/>
                <w:w w:val="90"/>
                <w:szCs w:val="21"/>
                <w:highlight w:val="none"/>
              </w:rPr>
              <w:t>LED筒灯</w:t>
            </w:r>
          </w:p>
        </w:tc>
        <w:tc>
          <w:tcPr>
            <w:tcW w:w="1807" w:type="dxa"/>
            <w:vAlign w:val="center"/>
          </w:tcPr>
          <w:p>
            <w:pPr>
              <w:jc w:val="center"/>
              <w:rPr>
                <w:rFonts w:ascii="宋体" w:hAnsi="宋体" w:cs="宋体"/>
                <w:color w:val="auto"/>
                <w:w w:val="90"/>
                <w:szCs w:val="21"/>
                <w:highlight w:val="none"/>
              </w:rPr>
            </w:pPr>
          </w:p>
        </w:tc>
        <w:tc>
          <w:tcPr>
            <w:tcW w:w="3301" w:type="dxa"/>
            <w:vAlign w:val="center"/>
          </w:tcPr>
          <w:p>
            <w:pPr>
              <w:jc w:val="left"/>
              <w:rPr>
                <w:rFonts w:ascii="宋体" w:hAnsi="宋体" w:cs="宋体"/>
                <w:color w:val="auto"/>
                <w:w w:val="90"/>
                <w:szCs w:val="21"/>
                <w:highlight w:val="none"/>
              </w:rPr>
            </w:pPr>
            <w:r>
              <w:rPr>
                <w:rFonts w:hint="eastAsia" w:ascii="宋体" w:hAnsi="宋体" w:cs="宋体"/>
                <w:color w:val="auto"/>
                <w:w w:val="90"/>
                <w:szCs w:val="21"/>
                <w:highlight w:val="none"/>
              </w:rPr>
              <w:t>《室内照明用LED产品能效限定值及能效等级》（GB 30255）</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rFonts w:ascii="宋体" w:hAnsi="宋体" w:cs="宋体"/>
                <w:color w:val="auto"/>
                <w:w w:val="90"/>
                <w:szCs w:val="21"/>
                <w:highlight w:val="none"/>
              </w:rPr>
            </w:pPr>
          </w:p>
        </w:tc>
        <w:tc>
          <w:tcPr>
            <w:tcW w:w="1933" w:type="dxa"/>
            <w:vMerge w:val="continue"/>
            <w:vAlign w:val="center"/>
          </w:tcPr>
          <w:p>
            <w:pPr>
              <w:jc w:val="left"/>
              <w:rPr>
                <w:rFonts w:ascii="宋体" w:hAnsi="宋体" w:cs="宋体"/>
                <w:color w:val="auto"/>
                <w:w w:val="90"/>
                <w:szCs w:val="21"/>
                <w:highlight w:val="none"/>
              </w:rPr>
            </w:pPr>
          </w:p>
        </w:tc>
        <w:tc>
          <w:tcPr>
            <w:tcW w:w="2209" w:type="dxa"/>
            <w:vAlign w:val="center"/>
          </w:tcPr>
          <w:p>
            <w:pPr>
              <w:jc w:val="left"/>
              <w:rPr>
                <w:rFonts w:ascii="宋体" w:hAnsi="宋体" w:cs="宋体"/>
                <w:color w:val="auto"/>
                <w:w w:val="90"/>
                <w:szCs w:val="21"/>
                <w:highlight w:val="none"/>
              </w:rPr>
            </w:pPr>
            <w:r>
              <w:rPr>
                <w:rFonts w:hint="eastAsia" w:ascii="宋体" w:hAnsi="宋体" w:cs="宋体"/>
                <w:color w:val="auto"/>
                <w:w w:val="90"/>
                <w:szCs w:val="21"/>
                <w:highlight w:val="none"/>
              </w:rPr>
              <w:t>普通照明用非定向自镇流LED灯</w:t>
            </w:r>
          </w:p>
        </w:tc>
        <w:tc>
          <w:tcPr>
            <w:tcW w:w="1807" w:type="dxa"/>
            <w:vAlign w:val="center"/>
          </w:tcPr>
          <w:p>
            <w:pPr>
              <w:jc w:val="center"/>
              <w:rPr>
                <w:rFonts w:ascii="宋体" w:hAnsi="宋体" w:cs="宋体"/>
                <w:color w:val="auto"/>
                <w:w w:val="90"/>
                <w:szCs w:val="21"/>
                <w:highlight w:val="none"/>
              </w:rPr>
            </w:pPr>
          </w:p>
        </w:tc>
        <w:tc>
          <w:tcPr>
            <w:tcW w:w="3301" w:type="dxa"/>
            <w:vAlign w:val="center"/>
          </w:tcPr>
          <w:p>
            <w:pPr>
              <w:jc w:val="left"/>
              <w:rPr>
                <w:rFonts w:ascii="宋体" w:hAnsi="宋体" w:cs="宋体"/>
                <w:color w:val="auto"/>
                <w:w w:val="90"/>
                <w:szCs w:val="21"/>
                <w:highlight w:val="none"/>
              </w:rPr>
            </w:pPr>
            <w:r>
              <w:rPr>
                <w:rFonts w:hint="eastAsia" w:ascii="宋体" w:hAnsi="宋体" w:cs="宋体"/>
                <w:color w:val="auto"/>
                <w:w w:val="90"/>
                <w:szCs w:val="21"/>
                <w:highlight w:val="none"/>
              </w:rPr>
              <w:t>《室内照明用LED产品能效限定值及能效等级》（GB 30255）</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Align w:val="center"/>
          </w:tcPr>
          <w:p>
            <w:pPr>
              <w:jc w:val="center"/>
              <w:rPr>
                <w:rFonts w:ascii="宋体" w:hAnsi="宋体" w:cs="宋体"/>
                <w:color w:val="auto"/>
                <w:w w:val="90"/>
                <w:szCs w:val="21"/>
                <w:highlight w:val="none"/>
              </w:rPr>
            </w:pPr>
            <w:r>
              <w:rPr>
                <w:rFonts w:hint="eastAsia" w:ascii="宋体" w:hAnsi="宋体" w:cs="宋体"/>
                <w:color w:val="auto"/>
                <w:w w:val="90"/>
                <w:szCs w:val="21"/>
                <w:highlight w:val="none"/>
              </w:rPr>
              <w:t>12</w:t>
            </w:r>
          </w:p>
        </w:tc>
        <w:tc>
          <w:tcPr>
            <w:tcW w:w="1933" w:type="dxa"/>
            <w:vAlign w:val="center"/>
          </w:tcPr>
          <w:p>
            <w:pPr>
              <w:jc w:val="left"/>
              <w:rPr>
                <w:rFonts w:ascii="宋体" w:hAnsi="宋体" w:cs="宋体"/>
                <w:b/>
                <w:color w:val="auto"/>
                <w:w w:val="90"/>
                <w:szCs w:val="21"/>
                <w:highlight w:val="none"/>
              </w:rPr>
            </w:pPr>
            <w:r>
              <w:rPr>
                <w:rFonts w:hint="eastAsia" w:ascii="宋体" w:hAnsi="宋体" w:cs="宋体"/>
                <w:color w:val="auto"/>
                <w:w w:val="90"/>
                <w:szCs w:val="21"/>
                <w:highlight w:val="none"/>
              </w:rPr>
              <w:t>★</w:t>
            </w:r>
            <w:r>
              <w:rPr>
                <w:rFonts w:hint="eastAsia" w:ascii="宋体" w:hAnsi="宋体" w:cs="宋体"/>
                <w:b/>
                <w:color w:val="auto"/>
                <w:w w:val="90"/>
                <w:szCs w:val="21"/>
                <w:highlight w:val="none"/>
              </w:rPr>
              <w:t>A020910电视设备</w:t>
            </w:r>
          </w:p>
        </w:tc>
        <w:tc>
          <w:tcPr>
            <w:tcW w:w="2209" w:type="dxa"/>
            <w:vAlign w:val="center"/>
          </w:tcPr>
          <w:p>
            <w:pPr>
              <w:jc w:val="left"/>
              <w:rPr>
                <w:rFonts w:ascii="宋体" w:hAnsi="宋体" w:cs="宋体"/>
                <w:b/>
                <w:color w:val="auto"/>
                <w:w w:val="90"/>
                <w:szCs w:val="21"/>
                <w:highlight w:val="none"/>
              </w:rPr>
            </w:pPr>
            <w:r>
              <w:rPr>
                <w:rFonts w:hint="eastAsia" w:ascii="宋体" w:hAnsi="宋体" w:cs="宋体"/>
                <w:b/>
                <w:color w:val="auto"/>
                <w:w w:val="90"/>
                <w:szCs w:val="21"/>
                <w:highlight w:val="none"/>
              </w:rPr>
              <w:t>A02091001普通电视设备（电视机）</w:t>
            </w:r>
          </w:p>
        </w:tc>
        <w:tc>
          <w:tcPr>
            <w:tcW w:w="1807" w:type="dxa"/>
            <w:vAlign w:val="center"/>
          </w:tcPr>
          <w:p>
            <w:pPr>
              <w:jc w:val="center"/>
              <w:rPr>
                <w:rFonts w:ascii="宋体" w:hAnsi="宋体" w:cs="宋体"/>
                <w:color w:val="auto"/>
                <w:w w:val="90"/>
                <w:szCs w:val="21"/>
                <w:highlight w:val="none"/>
              </w:rPr>
            </w:pPr>
          </w:p>
        </w:tc>
        <w:tc>
          <w:tcPr>
            <w:tcW w:w="3301" w:type="dxa"/>
            <w:vAlign w:val="center"/>
          </w:tcPr>
          <w:p>
            <w:pPr>
              <w:jc w:val="left"/>
              <w:rPr>
                <w:rFonts w:ascii="宋体" w:hAnsi="宋体" w:cs="宋体"/>
                <w:color w:val="auto"/>
                <w:w w:val="90"/>
                <w:szCs w:val="21"/>
                <w:highlight w:val="none"/>
              </w:rPr>
            </w:pPr>
            <w:r>
              <w:rPr>
                <w:rFonts w:hint="eastAsia" w:ascii="宋体" w:hAnsi="宋体" w:cs="宋体"/>
                <w:color w:val="auto"/>
                <w:w w:val="90"/>
                <w:szCs w:val="21"/>
                <w:highlight w:val="none"/>
              </w:rPr>
              <w:t>《平板电视能效限定值及能效等级》（GB 24850）</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Align w:val="center"/>
          </w:tcPr>
          <w:p>
            <w:pPr>
              <w:jc w:val="center"/>
              <w:rPr>
                <w:rFonts w:ascii="宋体" w:hAnsi="宋体" w:cs="宋体"/>
                <w:color w:val="auto"/>
                <w:w w:val="90"/>
                <w:szCs w:val="21"/>
                <w:highlight w:val="none"/>
              </w:rPr>
            </w:pPr>
            <w:r>
              <w:rPr>
                <w:rFonts w:hint="eastAsia" w:ascii="宋体" w:hAnsi="宋体" w:cs="宋体"/>
                <w:color w:val="auto"/>
                <w:w w:val="90"/>
                <w:szCs w:val="21"/>
                <w:highlight w:val="none"/>
              </w:rPr>
              <w:t>13</w:t>
            </w:r>
          </w:p>
        </w:tc>
        <w:tc>
          <w:tcPr>
            <w:tcW w:w="1933" w:type="dxa"/>
            <w:vAlign w:val="center"/>
          </w:tcPr>
          <w:p>
            <w:pPr>
              <w:jc w:val="left"/>
              <w:rPr>
                <w:rFonts w:ascii="宋体" w:hAnsi="宋体" w:cs="宋体"/>
                <w:b/>
                <w:color w:val="auto"/>
                <w:w w:val="90"/>
                <w:szCs w:val="21"/>
                <w:highlight w:val="none"/>
              </w:rPr>
            </w:pPr>
            <w:r>
              <w:rPr>
                <w:rFonts w:hint="eastAsia" w:ascii="宋体" w:hAnsi="宋体" w:cs="宋体"/>
                <w:color w:val="auto"/>
                <w:w w:val="90"/>
                <w:szCs w:val="21"/>
                <w:highlight w:val="none"/>
              </w:rPr>
              <w:t>★</w:t>
            </w:r>
            <w:r>
              <w:rPr>
                <w:rFonts w:hint="eastAsia" w:ascii="宋体" w:hAnsi="宋体" w:cs="宋体"/>
                <w:b/>
                <w:color w:val="auto"/>
                <w:w w:val="90"/>
                <w:szCs w:val="21"/>
                <w:highlight w:val="none"/>
              </w:rPr>
              <w:t>A020911视频设备</w:t>
            </w:r>
          </w:p>
        </w:tc>
        <w:tc>
          <w:tcPr>
            <w:tcW w:w="2209" w:type="dxa"/>
            <w:vAlign w:val="center"/>
          </w:tcPr>
          <w:p>
            <w:pPr>
              <w:jc w:val="left"/>
              <w:rPr>
                <w:rFonts w:ascii="宋体" w:hAnsi="宋体" w:cs="宋体"/>
                <w:b/>
                <w:color w:val="auto"/>
                <w:w w:val="90"/>
                <w:szCs w:val="21"/>
                <w:highlight w:val="none"/>
              </w:rPr>
            </w:pPr>
            <w:r>
              <w:rPr>
                <w:rFonts w:hint="eastAsia" w:ascii="宋体" w:hAnsi="宋体" w:cs="宋体"/>
                <w:b/>
                <w:color w:val="auto"/>
                <w:w w:val="90"/>
                <w:szCs w:val="21"/>
                <w:highlight w:val="none"/>
              </w:rPr>
              <w:t>A02091107视频监控设备</w:t>
            </w:r>
          </w:p>
        </w:tc>
        <w:tc>
          <w:tcPr>
            <w:tcW w:w="1807" w:type="dxa"/>
            <w:vAlign w:val="center"/>
          </w:tcPr>
          <w:p>
            <w:pPr>
              <w:jc w:val="center"/>
              <w:rPr>
                <w:rFonts w:ascii="宋体" w:hAnsi="宋体" w:cs="宋体"/>
                <w:b/>
                <w:color w:val="auto"/>
                <w:w w:val="90"/>
                <w:szCs w:val="21"/>
                <w:highlight w:val="none"/>
              </w:rPr>
            </w:pPr>
            <w:r>
              <w:rPr>
                <w:rFonts w:hint="eastAsia" w:ascii="宋体" w:hAnsi="宋体" w:cs="宋体"/>
                <w:b/>
                <w:color w:val="auto"/>
                <w:w w:val="90"/>
                <w:szCs w:val="21"/>
                <w:highlight w:val="none"/>
              </w:rPr>
              <w:t>监视器</w:t>
            </w:r>
          </w:p>
        </w:tc>
        <w:tc>
          <w:tcPr>
            <w:tcW w:w="3301" w:type="dxa"/>
            <w:vAlign w:val="center"/>
          </w:tcPr>
          <w:p>
            <w:pPr>
              <w:jc w:val="left"/>
              <w:rPr>
                <w:rFonts w:ascii="宋体" w:hAnsi="宋体" w:cs="宋体"/>
                <w:color w:val="auto"/>
                <w:w w:val="90"/>
                <w:szCs w:val="21"/>
                <w:highlight w:val="none"/>
              </w:rPr>
            </w:pPr>
            <w:r>
              <w:rPr>
                <w:rFonts w:hint="eastAsia" w:ascii="宋体" w:hAnsi="宋体" w:cs="宋体"/>
                <w:color w:val="auto"/>
                <w:w w:val="90"/>
                <w:szCs w:val="21"/>
                <w:highlight w:val="none"/>
              </w:rPr>
              <w:t>以射频信号为主要信号输入的监视器应符合《平板电视能效限定值及能效等级》（GB 24850），以数字信号为主要信号输入的监视器应符合《计算机显示器能效限定值及能效等级》（GB 21520）</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Align w:val="center"/>
          </w:tcPr>
          <w:p>
            <w:pPr>
              <w:jc w:val="center"/>
              <w:rPr>
                <w:rFonts w:ascii="宋体" w:hAnsi="宋体" w:cs="宋体"/>
                <w:color w:val="auto"/>
                <w:w w:val="90"/>
                <w:szCs w:val="21"/>
                <w:highlight w:val="none"/>
              </w:rPr>
            </w:pPr>
            <w:r>
              <w:rPr>
                <w:rFonts w:hint="eastAsia" w:ascii="宋体" w:hAnsi="宋体" w:cs="宋体"/>
                <w:color w:val="auto"/>
                <w:w w:val="90"/>
                <w:szCs w:val="21"/>
                <w:highlight w:val="none"/>
              </w:rPr>
              <w:t>14</w:t>
            </w:r>
          </w:p>
        </w:tc>
        <w:tc>
          <w:tcPr>
            <w:tcW w:w="1933" w:type="dxa"/>
            <w:vAlign w:val="center"/>
          </w:tcPr>
          <w:p>
            <w:pPr>
              <w:jc w:val="left"/>
              <w:rPr>
                <w:rFonts w:ascii="宋体" w:hAnsi="宋体" w:cs="宋体"/>
                <w:color w:val="auto"/>
                <w:w w:val="90"/>
                <w:szCs w:val="21"/>
                <w:highlight w:val="none"/>
              </w:rPr>
            </w:pPr>
            <w:r>
              <w:rPr>
                <w:rFonts w:hint="eastAsia" w:ascii="宋体" w:hAnsi="宋体" w:cs="宋体"/>
                <w:color w:val="auto"/>
                <w:w w:val="90"/>
                <w:szCs w:val="21"/>
                <w:highlight w:val="none"/>
              </w:rPr>
              <w:t>A031210饮食炊事机械</w:t>
            </w:r>
          </w:p>
        </w:tc>
        <w:tc>
          <w:tcPr>
            <w:tcW w:w="2209" w:type="dxa"/>
            <w:vAlign w:val="center"/>
          </w:tcPr>
          <w:p>
            <w:pPr>
              <w:jc w:val="left"/>
              <w:rPr>
                <w:rFonts w:ascii="宋体" w:hAnsi="宋体" w:cs="宋体"/>
                <w:color w:val="auto"/>
                <w:w w:val="90"/>
                <w:szCs w:val="21"/>
                <w:highlight w:val="none"/>
              </w:rPr>
            </w:pPr>
            <w:r>
              <w:rPr>
                <w:rFonts w:hint="eastAsia" w:ascii="宋体" w:hAnsi="宋体" w:cs="宋体"/>
                <w:color w:val="auto"/>
                <w:w w:val="90"/>
                <w:szCs w:val="21"/>
                <w:highlight w:val="none"/>
              </w:rPr>
              <w:t>商用燃气灶具</w:t>
            </w:r>
          </w:p>
        </w:tc>
        <w:tc>
          <w:tcPr>
            <w:tcW w:w="1807" w:type="dxa"/>
            <w:vAlign w:val="center"/>
          </w:tcPr>
          <w:p>
            <w:pPr>
              <w:jc w:val="center"/>
              <w:rPr>
                <w:rFonts w:ascii="宋体" w:hAnsi="宋体" w:cs="宋体"/>
                <w:color w:val="auto"/>
                <w:w w:val="90"/>
                <w:szCs w:val="21"/>
                <w:highlight w:val="none"/>
              </w:rPr>
            </w:pPr>
          </w:p>
        </w:tc>
        <w:tc>
          <w:tcPr>
            <w:tcW w:w="3301" w:type="dxa"/>
            <w:vAlign w:val="center"/>
          </w:tcPr>
          <w:p>
            <w:pPr>
              <w:jc w:val="left"/>
              <w:rPr>
                <w:rFonts w:ascii="宋体" w:hAnsi="宋体" w:cs="宋体"/>
                <w:color w:val="auto"/>
                <w:w w:val="90"/>
                <w:szCs w:val="21"/>
                <w:highlight w:val="none"/>
              </w:rPr>
            </w:pP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restart"/>
            <w:vAlign w:val="center"/>
          </w:tcPr>
          <w:p>
            <w:pPr>
              <w:jc w:val="center"/>
              <w:rPr>
                <w:rFonts w:ascii="宋体" w:hAnsi="宋体" w:cs="宋体"/>
                <w:color w:val="auto"/>
                <w:w w:val="90"/>
                <w:szCs w:val="21"/>
                <w:highlight w:val="none"/>
              </w:rPr>
            </w:pPr>
            <w:r>
              <w:rPr>
                <w:rFonts w:hint="eastAsia" w:ascii="宋体" w:hAnsi="宋体" w:cs="宋体"/>
                <w:color w:val="auto"/>
                <w:w w:val="90"/>
                <w:szCs w:val="21"/>
                <w:highlight w:val="none"/>
              </w:rPr>
              <w:t>15</w:t>
            </w:r>
          </w:p>
        </w:tc>
        <w:tc>
          <w:tcPr>
            <w:tcW w:w="1933" w:type="dxa"/>
            <w:vMerge w:val="restart"/>
            <w:vAlign w:val="center"/>
          </w:tcPr>
          <w:p>
            <w:pPr>
              <w:jc w:val="left"/>
              <w:rPr>
                <w:rFonts w:ascii="宋体" w:hAnsi="宋体" w:cs="宋体"/>
                <w:b/>
                <w:color w:val="auto"/>
                <w:w w:val="90"/>
                <w:szCs w:val="21"/>
                <w:highlight w:val="none"/>
              </w:rPr>
            </w:pPr>
            <w:r>
              <w:rPr>
                <w:rFonts w:hint="eastAsia" w:ascii="宋体" w:hAnsi="宋体" w:cs="宋体"/>
                <w:color w:val="auto"/>
                <w:w w:val="90"/>
                <w:szCs w:val="21"/>
                <w:highlight w:val="none"/>
              </w:rPr>
              <w:t>★</w:t>
            </w:r>
            <w:r>
              <w:rPr>
                <w:rFonts w:hint="eastAsia" w:ascii="宋体" w:hAnsi="宋体" w:cs="宋体"/>
                <w:b/>
                <w:color w:val="auto"/>
                <w:w w:val="90"/>
                <w:szCs w:val="21"/>
                <w:highlight w:val="none"/>
              </w:rPr>
              <w:t>A060805便器</w:t>
            </w:r>
          </w:p>
        </w:tc>
        <w:tc>
          <w:tcPr>
            <w:tcW w:w="2209" w:type="dxa"/>
            <w:vAlign w:val="center"/>
          </w:tcPr>
          <w:p>
            <w:pPr>
              <w:jc w:val="left"/>
              <w:rPr>
                <w:rFonts w:ascii="宋体" w:hAnsi="宋体" w:cs="宋体"/>
                <w:b/>
                <w:color w:val="auto"/>
                <w:w w:val="90"/>
                <w:szCs w:val="21"/>
                <w:highlight w:val="none"/>
              </w:rPr>
            </w:pPr>
            <w:r>
              <w:rPr>
                <w:rFonts w:hint="eastAsia" w:ascii="宋体" w:hAnsi="宋体" w:cs="宋体"/>
                <w:b/>
                <w:color w:val="auto"/>
                <w:w w:val="90"/>
                <w:szCs w:val="21"/>
                <w:highlight w:val="none"/>
              </w:rPr>
              <w:t>坐便器</w:t>
            </w:r>
          </w:p>
        </w:tc>
        <w:tc>
          <w:tcPr>
            <w:tcW w:w="1807" w:type="dxa"/>
            <w:vAlign w:val="center"/>
          </w:tcPr>
          <w:p>
            <w:pPr>
              <w:jc w:val="center"/>
              <w:rPr>
                <w:rFonts w:ascii="宋体" w:hAnsi="宋体" w:cs="宋体"/>
                <w:color w:val="auto"/>
                <w:w w:val="90"/>
                <w:szCs w:val="21"/>
                <w:highlight w:val="none"/>
              </w:rPr>
            </w:pPr>
          </w:p>
        </w:tc>
        <w:tc>
          <w:tcPr>
            <w:tcW w:w="3301" w:type="dxa"/>
            <w:vAlign w:val="center"/>
          </w:tcPr>
          <w:p>
            <w:pPr>
              <w:jc w:val="left"/>
              <w:rPr>
                <w:rFonts w:ascii="宋体" w:hAnsi="宋体" w:cs="宋体"/>
                <w:color w:val="auto"/>
                <w:w w:val="90"/>
                <w:szCs w:val="21"/>
                <w:highlight w:val="none"/>
              </w:rPr>
            </w:pPr>
            <w:r>
              <w:rPr>
                <w:rFonts w:hint="eastAsia" w:ascii="宋体" w:hAnsi="宋体" w:cs="宋体"/>
                <w:color w:val="auto"/>
                <w:w w:val="90"/>
                <w:szCs w:val="21"/>
                <w:highlight w:val="none"/>
              </w:rPr>
              <w:t>《坐便器水效限定值及水效等级</w:t>
            </w:r>
          </w:p>
          <w:p>
            <w:pPr>
              <w:jc w:val="left"/>
              <w:rPr>
                <w:rFonts w:ascii="宋体" w:hAnsi="宋体" w:cs="宋体"/>
                <w:color w:val="auto"/>
                <w:w w:val="90"/>
                <w:szCs w:val="21"/>
                <w:highlight w:val="none"/>
              </w:rPr>
            </w:pPr>
            <w:r>
              <w:rPr>
                <w:rFonts w:hint="eastAsia" w:ascii="宋体" w:hAnsi="宋体" w:cs="宋体"/>
                <w:color w:val="auto"/>
                <w:w w:val="90"/>
                <w:szCs w:val="21"/>
                <w:highlight w:val="none"/>
              </w:rPr>
              <w:t>（GB 25502）</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rFonts w:ascii="宋体" w:hAnsi="宋体" w:cs="宋体"/>
                <w:color w:val="auto"/>
                <w:w w:val="90"/>
                <w:szCs w:val="21"/>
                <w:highlight w:val="none"/>
              </w:rPr>
            </w:pPr>
          </w:p>
        </w:tc>
        <w:tc>
          <w:tcPr>
            <w:tcW w:w="1933" w:type="dxa"/>
            <w:vMerge w:val="continue"/>
            <w:vAlign w:val="center"/>
          </w:tcPr>
          <w:p>
            <w:pPr>
              <w:jc w:val="left"/>
              <w:rPr>
                <w:rFonts w:ascii="宋体" w:hAnsi="宋体" w:cs="宋体"/>
                <w:b/>
                <w:color w:val="auto"/>
                <w:w w:val="90"/>
                <w:szCs w:val="21"/>
                <w:highlight w:val="none"/>
              </w:rPr>
            </w:pPr>
          </w:p>
        </w:tc>
        <w:tc>
          <w:tcPr>
            <w:tcW w:w="2209" w:type="dxa"/>
            <w:vAlign w:val="center"/>
          </w:tcPr>
          <w:p>
            <w:pPr>
              <w:jc w:val="left"/>
              <w:rPr>
                <w:rFonts w:ascii="宋体" w:hAnsi="宋体" w:cs="宋体"/>
                <w:b/>
                <w:color w:val="auto"/>
                <w:w w:val="90"/>
                <w:szCs w:val="21"/>
                <w:highlight w:val="none"/>
              </w:rPr>
            </w:pPr>
            <w:r>
              <w:rPr>
                <w:rFonts w:hint="eastAsia" w:ascii="宋体" w:hAnsi="宋体" w:cs="宋体"/>
                <w:b/>
                <w:color w:val="auto"/>
                <w:w w:val="90"/>
                <w:szCs w:val="21"/>
                <w:highlight w:val="none"/>
              </w:rPr>
              <w:t>蹲便器</w:t>
            </w:r>
          </w:p>
        </w:tc>
        <w:tc>
          <w:tcPr>
            <w:tcW w:w="1807" w:type="dxa"/>
            <w:vAlign w:val="center"/>
          </w:tcPr>
          <w:p>
            <w:pPr>
              <w:jc w:val="center"/>
              <w:rPr>
                <w:rFonts w:ascii="宋体" w:hAnsi="宋体" w:cs="宋体"/>
                <w:color w:val="auto"/>
                <w:w w:val="90"/>
                <w:szCs w:val="21"/>
                <w:highlight w:val="none"/>
              </w:rPr>
            </w:pPr>
          </w:p>
        </w:tc>
        <w:tc>
          <w:tcPr>
            <w:tcW w:w="3301" w:type="dxa"/>
            <w:vAlign w:val="center"/>
          </w:tcPr>
          <w:p>
            <w:pPr>
              <w:jc w:val="left"/>
              <w:rPr>
                <w:rFonts w:ascii="宋体" w:hAnsi="宋体" w:cs="宋体"/>
                <w:color w:val="auto"/>
                <w:w w:val="90"/>
                <w:szCs w:val="21"/>
                <w:highlight w:val="none"/>
              </w:rPr>
            </w:pPr>
            <w:r>
              <w:rPr>
                <w:rFonts w:hint="eastAsia" w:ascii="宋体" w:hAnsi="宋体" w:cs="宋体"/>
                <w:color w:val="auto"/>
                <w:w w:val="90"/>
                <w:szCs w:val="21"/>
                <w:highlight w:val="none"/>
              </w:rPr>
              <w:t>《蹲便器用水效率限定值及用水效率等级》（GB 30717）</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rFonts w:ascii="宋体" w:hAnsi="宋体" w:cs="宋体"/>
                <w:color w:val="auto"/>
                <w:w w:val="90"/>
                <w:szCs w:val="21"/>
                <w:highlight w:val="none"/>
              </w:rPr>
            </w:pPr>
          </w:p>
        </w:tc>
        <w:tc>
          <w:tcPr>
            <w:tcW w:w="1933" w:type="dxa"/>
            <w:vMerge w:val="continue"/>
            <w:vAlign w:val="center"/>
          </w:tcPr>
          <w:p>
            <w:pPr>
              <w:jc w:val="left"/>
              <w:rPr>
                <w:rFonts w:ascii="宋体" w:hAnsi="宋体" w:cs="宋体"/>
                <w:b/>
                <w:color w:val="auto"/>
                <w:w w:val="90"/>
                <w:szCs w:val="21"/>
                <w:highlight w:val="none"/>
              </w:rPr>
            </w:pPr>
          </w:p>
        </w:tc>
        <w:tc>
          <w:tcPr>
            <w:tcW w:w="2209" w:type="dxa"/>
            <w:vAlign w:val="center"/>
          </w:tcPr>
          <w:p>
            <w:pPr>
              <w:jc w:val="left"/>
              <w:rPr>
                <w:rFonts w:ascii="宋体" w:hAnsi="宋体" w:cs="宋体"/>
                <w:b/>
                <w:color w:val="auto"/>
                <w:w w:val="90"/>
                <w:szCs w:val="21"/>
                <w:highlight w:val="none"/>
              </w:rPr>
            </w:pPr>
            <w:r>
              <w:rPr>
                <w:rFonts w:hint="eastAsia" w:ascii="宋体" w:hAnsi="宋体" w:cs="宋体"/>
                <w:b/>
                <w:color w:val="auto"/>
                <w:w w:val="90"/>
                <w:szCs w:val="21"/>
                <w:highlight w:val="none"/>
              </w:rPr>
              <w:t>小便器</w:t>
            </w:r>
          </w:p>
        </w:tc>
        <w:tc>
          <w:tcPr>
            <w:tcW w:w="1807" w:type="dxa"/>
            <w:vAlign w:val="center"/>
          </w:tcPr>
          <w:p>
            <w:pPr>
              <w:jc w:val="center"/>
              <w:rPr>
                <w:rFonts w:ascii="宋体" w:hAnsi="宋体" w:cs="宋体"/>
                <w:color w:val="auto"/>
                <w:w w:val="90"/>
                <w:szCs w:val="21"/>
                <w:highlight w:val="none"/>
              </w:rPr>
            </w:pPr>
          </w:p>
        </w:tc>
        <w:tc>
          <w:tcPr>
            <w:tcW w:w="3301" w:type="dxa"/>
            <w:vAlign w:val="center"/>
          </w:tcPr>
          <w:p>
            <w:pPr>
              <w:jc w:val="left"/>
              <w:rPr>
                <w:rFonts w:ascii="宋体" w:hAnsi="宋体" w:cs="宋体"/>
                <w:color w:val="auto"/>
                <w:w w:val="90"/>
                <w:szCs w:val="21"/>
                <w:highlight w:val="none"/>
              </w:rPr>
            </w:pPr>
            <w:r>
              <w:rPr>
                <w:rFonts w:hint="eastAsia" w:ascii="宋体" w:hAnsi="宋体" w:cs="宋体"/>
                <w:color w:val="auto"/>
                <w:w w:val="90"/>
                <w:szCs w:val="21"/>
                <w:highlight w:val="none"/>
              </w:rPr>
              <w:t>《小便器用水效率限定值及用水效率等级》（GB 28377）</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Align w:val="center"/>
          </w:tcPr>
          <w:p>
            <w:pPr>
              <w:jc w:val="center"/>
              <w:rPr>
                <w:rFonts w:ascii="宋体" w:hAnsi="宋体" w:cs="宋体"/>
                <w:color w:val="auto"/>
                <w:w w:val="90"/>
                <w:szCs w:val="21"/>
                <w:highlight w:val="none"/>
              </w:rPr>
            </w:pPr>
            <w:r>
              <w:rPr>
                <w:rFonts w:hint="eastAsia" w:ascii="宋体" w:hAnsi="宋体" w:cs="宋体"/>
                <w:color w:val="auto"/>
                <w:w w:val="90"/>
                <w:szCs w:val="21"/>
                <w:highlight w:val="none"/>
              </w:rPr>
              <w:t>16</w:t>
            </w:r>
          </w:p>
        </w:tc>
        <w:tc>
          <w:tcPr>
            <w:tcW w:w="1933" w:type="dxa"/>
            <w:vAlign w:val="center"/>
          </w:tcPr>
          <w:p>
            <w:pPr>
              <w:jc w:val="left"/>
              <w:rPr>
                <w:rFonts w:ascii="宋体" w:hAnsi="宋体" w:cs="宋体"/>
                <w:b/>
                <w:color w:val="auto"/>
                <w:w w:val="90"/>
                <w:szCs w:val="21"/>
                <w:highlight w:val="none"/>
              </w:rPr>
            </w:pPr>
            <w:r>
              <w:rPr>
                <w:rFonts w:hint="eastAsia" w:ascii="宋体" w:hAnsi="宋体" w:cs="宋体"/>
                <w:color w:val="auto"/>
                <w:w w:val="90"/>
                <w:szCs w:val="21"/>
                <w:highlight w:val="none"/>
              </w:rPr>
              <w:t>★</w:t>
            </w:r>
            <w:r>
              <w:rPr>
                <w:rFonts w:hint="eastAsia" w:ascii="宋体" w:hAnsi="宋体" w:cs="宋体"/>
                <w:b/>
                <w:color w:val="auto"/>
                <w:w w:val="90"/>
                <w:szCs w:val="21"/>
                <w:highlight w:val="none"/>
              </w:rPr>
              <w:t>A060806水嘴</w:t>
            </w:r>
          </w:p>
        </w:tc>
        <w:tc>
          <w:tcPr>
            <w:tcW w:w="2209" w:type="dxa"/>
            <w:vAlign w:val="center"/>
          </w:tcPr>
          <w:p>
            <w:pPr>
              <w:jc w:val="left"/>
              <w:rPr>
                <w:rFonts w:ascii="宋体" w:hAnsi="宋体" w:cs="宋体"/>
                <w:color w:val="auto"/>
                <w:w w:val="90"/>
                <w:szCs w:val="21"/>
                <w:highlight w:val="none"/>
              </w:rPr>
            </w:pPr>
          </w:p>
        </w:tc>
        <w:tc>
          <w:tcPr>
            <w:tcW w:w="1807" w:type="dxa"/>
            <w:vAlign w:val="center"/>
          </w:tcPr>
          <w:p>
            <w:pPr>
              <w:jc w:val="center"/>
              <w:rPr>
                <w:rFonts w:ascii="宋体" w:hAnsi="宋体" w:cs="宋体"/>
                <w:color w:val="auto"/>
                <w:w w:val="90"/>
                <w:szCs w:val="21"/>
                <w:highlight w:val="none"/>
              </w:rPr>
            </w:pPr>
          </w:p>
        </w:tc>
        <w:tc>
          <w:tcPr>
            <w:tcW w:w="3301" w:type="dxa"/>
            <w:vAlign w:val="center"/>
          </w:tcPr>
          <w:p>
            <w:pPr>
              <w:jc w:val="left"/>
              <w:rPr>
                <w:rFonts w:ascii="宋体" w:hAnsi="宋体" w:cs="宋体"/>
                <w:color w:val="auto"/>
                <w:w w:val="90"/>
                <w:szCs w:val="21"/>
                <w:highlight w:val="none"/>
              </w:rPr>
            </w:pPr>
            <w:r>
              <w:rPr>
                <w:rFonts w:hint="eastAsia" w:ascii="宋体" w:hAnsi="宋体" w:cs="宋体"/>
                <w:color w:val="auto"/>
                <w:w w:val="90"/>
                <w:szCs w:val="21"/>
                <w:highlight w:val="none"/>
              </w:rPr>
              <w:t>《水嘴用水效率限定值及用水效率等级》（GB 25501）</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Align w:val="center"/>
          </w:tcPr>
          <w:p>
            <w:pPr>
              <w:jc w:val="center"/>
              <w:rPr>
                <w:rFonts w:ascii="宋体" w:hAnsi="宋体" w:cs="宋体"/>
                <w:color w:val="auto"/>
                <w:w w:val="90"/>
                <w:szCs w:val="21"/>
                <w:highlight w:val="none"/>
              </w:rPr>
            </w:pPr>
            <w:r>
              <w:rPr>
                <w:rFonts w:hint="eastAsia" w:ascii="宋体" w:hAnsi="宋体" w:cs="宋体"/>
                <w:color w:val="auto"/>
                <w:w w:val="90"/>
                <w:szCs w:val="21"/>
                <w:highlight w:val="none"/>
              </w:rPr>
              <w:t>17</w:t>
            </w:r>
          </w:p>
        </w:tc>
        <w:tc>
          <w:tcPr>
            <w:tcW w:w="1933" w:type="dxa"/>
            <w:vAlign w:val="center"/>
          </w:tcPr>
          <w:p>
            <w:pPr>
              <w:jc w:val="left"/>
              <w:rPr>
                <w:rFonts w:ascii="宋体" w:hAnsi="宋体" w:cs="宋体"/>
                <w:color w:val="auto"/>
                <w:w w:val="90"/>
                <w:szCs w:val="21"/>
                <w:highlight w:val="none"/>
              </w:rPr>
            </w:pPr>
            <w:r>
              <w:rPr>
                <w:rFonts w:hint="eastAsia" w:ascii="宋体" w:hAnsi="宋体" w:cs="宋体"/>
                <w:color w:val="auto"/>
                <w:w w:val="90"/>
                <w:szCs w:val="21"/>
                <w:highlight w:val="none"/>
              </w:rPr>
              <w:t>A060807便器冲洗阀</w:t>
            </w:r>
          </w:p>
        </w:tc>
        <w:tc>
          <w:tcPr>
            <w:tcW w:w="2209" w:type="dxa"/>
            <w:vAlign w:val="center"/>
          </w:tcPr>
          <w:p>
            <w:pPr>
              <w:jc w:val="left"/>
              <w:rPr>
                <w:rFonts w:ascii="宋体" w:hAnsi="宋体" w:cs="宋体"/>
                <w:color w:val="auto"/>
                <w:w w:val="90"/>
                <w:szCs w:val="21"/>
                <w:highlight w:val="none"/>
              </w:rPr>
            </w:pPr>
          </w:p>
        </w:tc>
        <w:tc>
          <w:tcPr>
            <w:tcW w:w="1807" w:type="dxa"/>
            <w:vAlign w:val="center"/>
          </w:tcPr>
          <w:p>
            <w:pPr>
              <w:jc w:val="center"/>
              <w:rPr>
                <w:rFonts w:ascii="宋体" w:hAnsi="宋体" w:cs="宋体"/>
                <w:color w:val="auto"/>
                <w:w w:val="90"/>
                <w:szCs w:val="21"/>
                <w:highlight w:val="none"/>
              </w:rPr>
            </w:pPr>
          </w:p>
        </w:tc>
        <w:tc>
          <w:tcPr>
            <w:tcW w:w="3301" w:type="dxa"/>
            <w:vAlign w:val="center"/>
          </w:tcPr>
          <w:p>
            <w:pPr>
              <w:jc w:val="left"/>
              <w:rPr>
                <w:rFonts w:ascii="宋体" w:hAnsi="宋体" w:cs="宋体"/>
                <w:color w:val="auto"/>
                <w:w w:val="90"/>
                <w:szCs w:val="21"/>
                <w:highlight w:val="none"/>
              </w:rPr>
            </w:pPr>
            <w:r>
              <w:rPr>
                <w:rFonts w:hint="eastAsia" w:ascii="宋体" w:hAnsi="宋体" w:cs="宋体"/>
                <w:color w:val="auto"/>
                <w:w w:val="90"/>
                <w:szCs w:val="21"/>
                <w:highlight w:val="none"/>
              </w:rPr>
              <w:t>《便器冲洗阀用水效率限定值及用水效率等级》（GB 28379）</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Align w:val="center"/>
          </w:tcPr>
          <w:p>
            <w:pPr>
              <w:jc w:val="center"/>
              <w:rPr>
                <w:rFonts w:ascii="宋体" w:hAnsi="宋体" w:cs="宋体"/>
                <w:color w:val="auto"/>
                <w:w w:val="90"/>
                <w:szCs w:val="21"/>
                <w:highlight w:val="none"/>
              </w:rPr>
            </w:pPr>
            <w:r>
              <w:rPr>
                <w:rFonts w:hint="eastAsia" w:ascii="宋体" w:hAnsi="宋体" w:cs="宋体"/>
                <w:color w:val="auto"/>
                <w:w w:val="90"/>
                <w:szCs w:val="21"/>
                <w:highlight w:val="none"/>
              </w:rPr>
              <w:t>18</w:t>
            </w:r>
          </w:p>
        </w:tc>
        <w:tc>
          <w:tcPr>
            <w:tcW w:w="1933" w:type="dxa"/>
            <w:vAlign w:val="center"/>
          </w:tcPr>
          <w:p>
            <w:pPr>
              <w:jc w:val="left"/>
              <w:rPr>
                <w:rFonts w:ascii="宋体" w:hAnsi="宋体" w:cs="宋体"/>
                <w:color w:val="auto"/>
                <w:w w:val="90"/>
                <w:szCs w:val="21"/>
                <w:highlight w:val="none"/>
              </w:rPr>
            </w:pPr>
            <w:r>
              <w:rPr>
                <w:rFonts w:hint="eastAsia" w:ascii="宋体" w:hAnsi="宋体" w:cs="宋体"/>
                <w:color w:val="auto"/>
                <w:w w:val="90"/>
                <w:szCs w:val="21"/>
                <w:highlight w:val="none"/>
              </w:rPr>
              <w:t>A060810淋浴器</w:t>
            </w:r>
          </w:p>
        </w:tc>
        <w:tc>
          <w:tcPr>
            <w:tcW w:w="2209" w:type="dxa"/>
            <w:vAlign w:val="center"/>
          </w:tcPr>
          <w:p>
            <w:pPr>
              <w:jc w:val="left"/>
              <w:rPr>
                <w:rFonts w:ascii="宋体" w:hAnsi="宋体" w:cs="宋体"/>
                <w:color w:val="auto"/>
                <w:w w:val="90"/>
                <w:szCs w:val="21"/>
                <w:highlight w:val="none"/>
              </w:rPr>
            </w:pPr>
          </w:p>
        </w:tc>
        <w:tc>
          <w:tcPr>
            <w:tcW w:w="1807" w:type="dxa"/>
            <w:vAlign w:val="center"/>
          </w:tcPr>
          <w:p>
            <w:pPr>
              <w:jc w:val="center"/>
              <w:rPr>
                <w:rFonts w:ascii="宋体" w:hAnsi="宋体" w:cs="宋体"/>
                <w:color w:val="auto"/>
                <w:w w:val="90"/>
                <w:szCs w:val="21"/>
                <w:highlight w:val="none"/>
              </w:rPr>
            </w:pPr>
          </w:p>
        </w:tc>
        <w:tc>
          <w:tcPr>
            <w:tcW w:w="3301" w:type="dxa"/>
            <w:vAlign w:val="center"/>
          </w:tcPr>
          <w:p>
            <w:pPr>
              <w:jc w:val="left"/>
              <w:rPr>
                <w:rFonts w:ascii="宋体" w:hAnsi="宋体" w:cs="宋体"/>
                <w:color w:val="auto"/>
                <w:w w:val="90"/>
                <w:szCs w:val="21"/>
                <w:highlight w:val="none"/>
              </w:rPr>
            </w:pPr>
            <w:r>
              <w:rPr>
                <w:rFonts w:hint="eastAsia" w:ascii="宋体" w:hAnsi="宋体" w:cs="宋体"/>
                <w:color w:val="auto"/>
                <w:w w:val="90"/>
                <w:szCs w:val="21"/>
                <w:highlight w:val="none"/>
              </w:rPr>
              <w:t>《淋浴器用水效率限定值及用水效率等级》（GB 28378）</w:t>
            </w:r>
          </w:p>
        </w:tc>
      </w:tr>
    </w:tbl>
    <w:p>
      <w:pPr>
        <w:spacing w:line="360" w:lineRule="auto"/>
        <w:ind w:left="-850" w:leftChars="-405" w:right="-1050" w:rightChars="-500" w:firstLine="382" w:firstLineChars="201"/>
        <w:rPr>
          <w:rFonts w:ascii="宋体" w:hAnsi="宋体" w:cs="宋体"/>
          <w:b/>
          <w:color w:val="auto"/>
          <w:w w:val="90"/>
          <w:highlight w:val="none"/>
        </w:rPr>
      </w:pPr>
      <w:r>
        <w:rPr>
          <w:rFonts w:hint="eastAsia" w:ascii="宋体" w:hAnsi="宋体" w:cs="宋体"/>
          <w:b/>
          <w:color w:val="auto"/>
          <w:w w:val="90"/>
          <w:highlight w:val="none"/>
        </w:rPr>
        <w:t>注：1、节能产品认证应依据相关国家标准的最新版本，依据国家标准中二级能效（水效）指标。</w:t>
      </w:r>
    </w:p>
    <w:p>
      <w:pPr>
        <w:spacing w:line="360" w:lineRule="auto"/>
        <w:ind w:left="-850" w:leftChars="-405" w:right="-1050" w:rightChars="-500" w:firstLine="382" w:firstLineChars="201"/>
        <w:rPr>
          <w:rFonts w:ascii="宋体" w:hAnsi="宋体" w:cs="宋体"/>
          <w:b/>
          <w:color w:val="auto"/>
          <w:w w:val="90"/>
          <w:highlight w:val="none"/>
        </w:rPr>
      </w:pPr>
      <w:r>
        <w:rPr>
          <w:rFonts w:hint="eastAsia" w:ascii="宋体" w:hAnsi="宋体" w:cs="宋体"/>
          <w:b/>
          <w:color w:val="auto"/>
          <w:w w:val="90"/>
          <w:highlight w:val="none"/>
        </w:rPr>
        <w:t>2、上述产品中认证标准发生变更的，依据原认证标准获得的、仍在有效期内的认证证书可使用至2019年6月1日。</w:t>
      </w:r>
    </w:p>
    <w:p>
      <w:pPr>
        <w:spacing w:line="360" w:lineRule="auto"/>
        <w:ind w:left="-850" w:leftChars="-405" w:right="-1050" w:rightChars="-500" w:firstLine="382" w:firstLineChars="201"/>
        <w:rPr>
          <w:rFonts w:ascii="宋体" w:hAnsi="宋体" w:cs="宋体"/>
          <w:color w:val="auto"/>
          <w:highlight w:val="none"/>
        </w:rPr>
      </w:pPr>
      <w:r>
        <w:rPr>
          <w:rFonts w:hint="eastAsia" w:ascii="宋体" w:hAnsi="宋体" w:cs="宋体"/>
          <w:b/>
          <w:color w:val="auto"/>
          <w:w w:val="90"/>
          <w:highlight w:val="none"/>
        </w:rPr>
        <w:t>3、以“★”标注的为政府强制采购产品。</w:t>
      </w:r>
    </w:p>
    <w:p>
      <w:pPr>
        <w:pStyle w:val="4"/>
        <w:rPr>
          <w:rFonts w:ascii="宋体" w:hAnsi="宋体" w:cs="宋体"/>
          <w:color w:val="auto"/>
          <w:highlight w:val="none"/>
        </w:rPr>
      </w:pPr>
      <w:r>
        <w:rPr>
          <w:rFonts w:hint="eastAsia" w:ascii="宋体" w:hAnsi="宋体" w:cs="宋体"/>
          <w:color w:val="auto"/>
          <w:sz w:val="24"/>
          <w:szCs w:val="28"/>
          <w:highlight w:val="none"/>
        </w:rPr>
        <w:br w:type="page"/>
      </w:r>
      <w:bookmarkStart w:id="485" w:name="_Toc7663596"/>
      <w:bookmarkStart w:id="486" w:name="_Toc17428253"/>
      <w:bookmarkStart w:id="487" w:name="_Toc10432457"/>
      <w:bookmarkStart w:id="488" w:name="_Toc7574704"/>
      <w:bookmarkStart w:id="489" w:name="_Toc25765009"/>
      <w:bookmarkStart w:id="490" w:name="_Toc8007004"/>
      <w:bookmarkStart w:id="491" w:name="_Toc7668949"/>
      <w:bookmarkStart w:id="492" w:name="_Toc17428348"/>
      <w:bookmarkStart w:id="493" w:name="_Toc20358291"/>
      <w:bookmarkStart w:id="494" w:name="_Toc7664196"/>
      <w:bookmarkStart w:id="495" w:name="_Toc7488758"/>
      <w:bookmarkStart w:id="496" w:name="_Toc7542915"/>
      <w:bookmarkStart w:id="497" w:name="_Toc7492527"/>
      <w:bookmarkStart w:id="498" w:name="_Toc24471817"/>
      <w:bookmarkStart w:id="499" w:name="_Toc7988474"/>
      <w:bookmarkStart w:id="500" w:name="_Toc7993640"/>
      <w:bookmarkStart w:id="501" w:name="_Toc7988420"/>
      <w:r>
        <w:rPr>
          <w:rFonts w:hint="eastAsia" w:ascii="宋体" w:hAnsi="宋体" w:cs="宋体"/>
          <w:color w:val="auto"/>
          <w:highlight w:val="none"/>
        </w:rPr>
        <w:t>关于印发环境标志产品政府采购品目清单的通知（财库〔2019〕18号）</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jc w:val="center"/>
        <w:rPr>
          <w:rFonts w:ascii="宋体" w:hAnsi="宋体" w:cs="宋体"/>
          <w:color w:val="auto"/>
          <w:kern w:val="0"/>
          <w:sz w:val="24"/>
          <w:szCs w:val="28"/>
          <w:highlight w:val="none"/>
        </w:rPr>
      </w:pPr>
    </w:p>
    <w:p>
      <w:pPr>
        <w:jc w:val="center"/>
        <w:rPr>
          <w:rFonts w:ascii="宋体" w:hAnsi="宋体" w:cs="宋体"/>
          <w:b/>
          <w:color w:val="auto"/>
          <w:kern w:val="0"/>
          <w:sz w:val="32"/>
          <w:highlight w:val="none"/>
        </w:rPr>
      </w:pPr>
      <w:r>
        <w:rPr>
          <w:rFonts w:hint="eastAsia" w:ascii="宋体" w:hAnsi="宋体" w:cs="宋体"/>
          <w:b/>
          <w:color w:val="auto"/>
          <w:kern w:val="0"/>
          <w:sz w:val="32"/>
          <w:highlight w:val="none"/>
        </w:rPr>
        <w:t>关于印发环境标志产品政府采购品目清单的通知</w:t>
      </w:r>
    </w:p>
    <w:p>
      <w:pPr>
        <w:jc w:val="center"/>
        <w:rPr>
          <w:rFonts w:ascii="宋体" w:hAnsi="宋体" w:cs="宋体"/>
          <w:color w:val="auto"/>
          <w:highlight w:val="none"/>
        </w:rPr>
      </w:pPr>
      <w:r>
        <w:rPr>
          <w:rFonts w:hint="eastAsia" w:ascii="宋体" w:hAnsi="宋体" w:cs="宋体"/>
          <w:b/>
          <w:color w:val="auto"/>
          <w:kern w:val="0"/>
          <w:sz w:val="32"/>
          <w:highlight w:val="none"/>
        </w:rPr>
        <w:t>财库〔2019〕18号</w:t>
      </w:r>
    </w:p>
    <w:p>
      <w:pPr>
        <w:spacing w:line="360" w:lineRule="auto"/>
        <w:rPr>
          <w:rFonts w:ascii="宋体" w:hAnsi="宋体" w:cs="宋体"/>
          <w:color w:val="auto"/>
          <w:kern w:val="0"/>
          <w:sz w:val="28"/>
          <w:highlight w:val="none"/>
        </w:rPr>
      </w:pPr>
    </w:p>
    <w:p>
      <w:pPr>
        <w:spacing w:line="360" w:lineRule="auto"/>
        <w:rPr>
          <w:rFonts w:ascii="宋体" w:hAnsi="宋体" w:cs="宋体"/>
          <w:b/>
          <w:color w:val="auto"/>
          <w:kern w:val="0"/>
          <w:sz w:val="28"/>
          <w:highlight w:val="none"/>
        </w:rPr>
      </w:pPr>
      <w:r>
        <w:rPr>
          <w:rFonts w:hint="eastAsia" w:ascii="宋体" w:hAnsi="宋体" w:cs="宋体"/>
          <w:b/>
          <w:color w:val="auto"/>
          <w:kern w:val="0"/>
          <w:sz w:val="28"/>
          <w:highlight w:val="none"/>
        </w:rPr>
        <w:t>有关中央预算单位，各省、自治区、直辖市、计划单列市财政厅（局）、生态环境厅（局），新疆生产建设兵团财政局、环境保护局：</w:t>
      </w:r>
    </w:p>
    <w:p>
      <w:pPr>
        <w:spacing w:line="360" w:lineRule="auto"/>
        <w:rPr>
          <w:rFonts w:ascii="宋体" w:hAnsi="宋体" w:cs="宋体"/>
          <w:color w:val="auto"/>
          <w:kern w:val="0"/>
          <w:sz w:val="28"/>
          <w:highlight w:val="none"/>
        </w:rPr>
      </w:pPr>
    </w:p>
    <w:p>
      <w:pPr>
        <w:spacing w:line="360" w:lineRule="auto"/>
        <w:ind w:firstLine="565" w:firstLineChars="202"/>
        <w:rPr>
          <w:rFonts w:ascii="宋体" w:hAnsi="宋体" w:cs="宋体"/>
          <w:color w:val="auto"/>
          <w:kern w:val="0"/>
          <w:sz w:val="28"/>
          <w:highlight w:val="none"/>
        </w:rPr>
      </w:pPr>
      <w:r>
        <w:rPr>
          <w:rFonts w:hint="eastAsia" w:ascii="宋体" w:hAnsi="宋体" w:cs="宋体"/>
          <w:color w:val="auto"/>
          <w:kern w:val="0"/>
          <w:sz w:val="28"/>
          <w:highlight w:val="none"/>
        </w:rPr>
        <w:t>根据《财政部发展改革委 生态环境部 市场监管总局关于调整优化节能产品环境标志产品政府采购执行机制的通知》（财库〔2019〕9号），我们研究制定了环境标志产品政府采购品目清单，现印发给你们，请遵照执行。</w:t>
      </w:r>
    </w:p>
    <w:p>
      <w:pPr>
        <w:spacing w:line="360" w:lineRule="auto"/>
        <w:ind w:firstLine="565" w:firstLineChars="202"/>
        <w:rPr>
          <w:rFonts w:ascii="宋体" w:hAnsi="宋体" w:cs="宋体"/>
          <w:color w:val="auto"/>
          <w:kern w:val="0"/>
          <w:sz w:val="28"/>
          <w:highlight w:val="none"/>
        </w:rPr>
      </w:pPr>
    </w:p>
    <w:p>
      <w:pPr>
        <w:spacing w:line="360" w:lineRule="auto"/>
        <w:rPr>
          <w:rFonts w:ascii="宋体" w:hAnsi="宋体" w:cs="宋体"/>
          <w:color w:val="auto"/>
          <w:kern w:val="0"/>
          <w:sz w:val="28"/>
          <w:highlight w:val="none"/>
        </w:rPr>
      </w:pPr>
      <w:r>
        <w:rPr>
          <w:rFonts w:hint="eastAsia" w:ascii="宋体" w:hAnsi="宋体" w:cs="宋体"/>
          <w:color w:val="auto"/>
          <w:kern w:val="0"/>
          <w:sz w:val="28"/>
          <w:highlight w:val="none"/>
        </w:rPr>
        <w:t>附件：环境标志产品政府采购品目清单</w:t>
      </w:r>
    </w:p>
    <w:p>
      <w:pPr>
        <w:spacing w:line="360" w:lineRule="auto"/>
        <w:ind w:firstLine="3360"/>
        <w:rPr>
          <w:rFonts w:ascii="宋体" w:hAnsi="宋体" w:cs="宋体"/>
          <w:color w:val="auto"/>
          <w:kern w:val="0"/>
          <w:sz w:val="28"/>
          <w:highlight w:val="none"/>
        </w:rPr>
      </w:pPr>
    </w:p>
    <w:p>
      <w:pPr>
        <w:spacing w:line="360" w:lineRule="auto"/>
        <w:jc w:val="right"/>
        <w:rPr>
          <w:rFonts w:ascii="宋体" w:hAnsi="宋体" w:cs="宋体"/>
          <w:color w:val="auto"/>
          <w:kern w:val="0"/>
          <w:sz w:val="28"/>
          <w:highlight w:val="none"/>
        </w:rPr>
      </w:pPr>
      <w:r>
        <w:rPr>
          <w:rFonts w:hint="eastAsia" w:ascii="宋体" w:hAnsi="宋体" w:cs="宋体"/>
          <w:color w:val="auto"/>
          <w:kern w:val="0"/>
          <w:sz w:val="28"/>
          <w:highlight w:val="none"/>
        </w:rPr>
        <w:t>财政部  生态环境部</w:t>
      </w:r>
    </w:p>
    <w:p>
      <w:pPr>
        <w:spacing w:line="360" w:lineRule="auto"/>
        <w:jc w:val="right"/>
        <w:rPr>
          <w:rFonts w:ascii="宋体" w:hAnsi="宋体" w:cs="宋体"/>
          <w:color w:val="auto"/>
          <w:kern w:val="0"/>
          <w:sz w:val="28"/>
          <w:highlight w:val="none"/>
        </w:rPr>
      </w:pPr>
      <w:r>
        <w:rPr>
          <w:rFonts w:hint="eastAsia" w:ascii="宋体" w:hAnsi="宋体" w:cs="宋体"/>
          <w:color w:val="auto"/>
          <w:kern w:val="0"/>
          <w:sz w:val="28"/>
          <w:highlight w:val="none"/>
        </w:rPr>
        <w:t>2019年3月29日</w:t>
      </w:r>
    </w:p>
    <w:p>
      <w:pPr>
        <w:keepNext/>
        <w:widowControl/>
        <w:adjustRightInd/>
        <w:rPr>
          <w:rFonts w:ascii="宋体" w:hAnsi="宋体" w:cs="宋体"/>
          <w:color w:val="auto"/>
          <w:highlight w:val="none"/>
        </w:rPr>
      </w:pPr>
      <w:r>
        <w:rPr>
          <w:rFonts w:hint="eastAsia" w:ascii="宋体" w:hAnsi="宋体" w:cs="宋体"/>
          <w:color w:val="auto"/>
          <w:highlight w:val="none"/>
        </w:rPr>
        <w:br w:type="page"/>
      </w:r>
      <w:r>
        <w:rPr>
          <w:rFonts w:hint="eastAsia" w:ascii="宋体" w:hAnsi="宋体" w:cs="宋体"/>
          <w:color w:val="auto"/>
          <w:highlight w:val="none"/>
        </w:rPr>
        <w:t>附：环境标志产品政府采购品目清单</w:t>
      </w:r>
    </w:p>
    <w:tbl>
      <w:tblPr>
        <w:tblStyle w:val="63"/>
        <w:tblW w:w="0" w:type="auto"/>
        <w:jc w:val="center"/>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Layout w:type="fixed"/>
        <w:tblCellMar>
          <w:top w:w="0" w:type="dxa"/>
          <w:left w:w="108" w:type="dxa"/>
          <w:bottom w:w="0" w:type="dxa"/>
          <w:right w:w="108" w:type="dxa"/>
        </w:tblCellMar>
      </w:tblPr>
      <w:tblGrid>
        <w:gridCol w:w="709"/>
        <w:gridCol w:w="1985"/>
        <w:gridCol w:w="2268"/>
        <w:gridCol w:w="1855"/>
        <w:gridCol w:w="3390"/>
      </w:tblGrid>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blHeader/>
          <w:jc w:val="center"/>
        </w:trPr>
        <w:tc>
          <w:tcPr>
            <w:tcW w:w="709" w:type="dxa"/>
            <w:shd w:val="clear" w:color="auto" w:fill="DAEEF3"/>
            <w:vAlign w:val="center"/>
          </w:tcPr>
          <w:p>
            <w:pPr>
              <w:jc w:val="center"/>
              <w:rPr>
                <w:rFonts w:ascii="宋体" w:hAnsi="宋体" w:cs="宋体"/>
                <w:b/>
                <w:color w:val="auto"/>
                <w:w w:val="90"/>
                <w:szCs w:val="21"/>
                <w:highlight w:val="none"/>
              </w:rPr>
            </w:pPr>
            <w:r>
              <w:rPr>
                <w:rFonts w:hint="eastAsia" w:ascii="宋体" w:hAnsi="宋体" w:cs="宋体"/>
                <w:b/>
                <w:color w:val="auto"/>
                <w:w w:val="90"/>
                <w:szCs w:val="21"/>
                <w:highlight w:val="none"/>
              </w:rPr>
              <w:t>品目序号</w:t>
            </w:r>
          </w:p>
        </w:tc>
        <w:tc>
          <w:tcPr>
            <w:tcW w:w="6108" w:type="dxa"/>
            <w:gridSpan w:val="3"/>
            <w:shd w:val="clear" w:color="auto" w:fill="DAEEF3"/>
            <w:vAlign w:val="center"/>
          </w:tcPr>
          <w:p>
            <w:pPr>
              <w:jc w:val="center"/>
              <w:rPr>
                <w:rFonts w:ascii="宋体" w:hAnsi="宋体" w:cs="宋体"/>
                <w:b/>
                <w:color w:val="auto"/>
                <w:w w:val="90"/>
                <w:szCs w:val="21"/>
                <w:highlight w:val="none"/>
              </w:rPr>
            </w:pPr>
            <w:r>
              <w:rPr>
                <w:rFonts w:hint="eastAsia" w:ascii="宋体" w:hAnsi="宋体" w:cs="宋体"/>
                <w:b/>
                <w:color w:val="auto"/>
                <w:w w:val="90"/>
                <w:szCs w:val="21"/>
                <w:highlight w:val="none"/>
              </w:rPr>
              <w:t>名称</w:t>
            </w:r>
          </w:p>
        </w:tc>
        <w:tc>
          <w:tcPr>
            <w:tcW w:w="3390" w:type="dxa"/>
            <w:shd w:val="clear" w:color="auto" w:fill="DAEEF3"/>
            <w:vAlign w:val="center"/>
          </w:tcPr>
          <w:p>
            <w:pPr>
              <w:jc w:val="center"/>
              <w:rPr>
                <w:rFonts w:ascii="宋体" w:hAnsi="宋体" w:cs="宋体"/>
                <w:b/>
                <w:color w:val="auto"/>
                <w:w w:val="90"/>
                <w:szCs w:val="21"/>
                <w:highlight w:val="none"/>
              </w:rPr>
            </w:pPr>
            <w:r>
              <w:rPr>
                <w:rFonts w:hint="eastAsia" w:ascii="宋体" w:hAnsi="宋体" w:cs="宋体"/>
                <w:b/>
                <w:color w:val="auto"/>
                <w:w w:val="90"/>
                <w:szCs w:val="21"/>
                <w:highlight w:val="none"/>
              </w:rPr>
              <w:t>依据的标准</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restart"/>
            <w:vAlign w:val="center"/>
          </w:tcPr>
          <w:p>
            <w:pPr>
              <w:jc w:val="center"/>
              <w:rPr>
                <w:rFonts w:ascii="宋体" w:hAnsi="宋体" w:cs="宋体"/>
                <w:color w:val="auto"/>
                <w:w w:val="90"/>
                <w:szCs w:val="21"/>
                <w:highlight w:val="none"/>
              </w:rPr>
            </w:pPr>
            <w:r>
              <w:rPr>
                <w:rFonts w:hint="eastAsia" w:ascii="宋体" w:hAnsi="宋体" w:cs="宋体"/>
                <w:color w:val="auto"/>
                <w:w w:val="90"/>
                <w:szCs w:val="21"/>
                <w:highlight w:val="none"/>
              </w:rPr>
              <w:t>1</w:t>
            </w:r>
          </w:p>
        </w:tc>
        <w:tc>
          <w:tcPr>
            <w:tcW w:w="1985" w:type="dxa"/>
            <w:vMerge w:val="restart"/>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A020101计算机设备</w:t>
            </w:r>
          </w:p>
        </w:tc>
        <w:tc>
          <w:tcPr>
            <w:tcW w:w="2268"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A02010103服务器</w:t>
            </w:r>
          </w:p>
        </w:tc>
        <w:tc>
          <w:tcPr>
            <w:tcW w:w="1855" w:type="dxa"/>
            <w:vAlign w:val="center"/>
          </w:tcPr>
          <w:p>
            <w:pPr>
              <w:rPr>
                <w:rFonts w:ascii="宋体" w:hAnsi="宋体" w:cs="宋体"/>
                <w:color w:val="auto"/>
                <w:w w:val="90"/>
                <w:szCs w:val="21"/>
                <w:highlight w:val="none"/>
              </w:rPr>
            </w:pPr>
          </w:p>
        </w:tc>
        <w:tc>
          <w:tcPr>
            <w:tcW w:w="3390"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HJ2507网络服务器</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continue"/>
            <w:vAlign w:val="center"/>
          </w:tcPr>
          <w:p>
            <w:pPr>
              <w:jc w:val="center"/>
              <w:rPr>
                <w:rFonts w:ascii="宋体" w:hAnsi="宋体" w:cs="宋体"/>
                <w:color w:val="auto"/>
                <w:w w:val="90"/>
                <w:szCs w:val="21"/>
                <w:highlight w:val="none"/>
              </w:rPr>
            </w:pPr>
          </w:p>
        </w:tc>
        <w:tc>
          <w:tcPr>
            <w:tcW w:w="1985" w:type="dxa"/>
            <w:vMerge w:val="continue"/>
            <w:vAlign w:val="center"/>
          </w:tcPr>
          <w:p>
            <w:pPr>
              <w:rPr>
                <w:rFonts w:ascii="宋体" w:hAnsi="宋体" w:cs="宋体"/>
                <w:color w:val="auto"/>
                <w:w w:val="90"/>
                <w:szCs w:val="21"/>
                <w:highlight w:val="none"/>
              </w:rPr>
            </w:pPr>
          </w:p>
        </w:tc>
        <w:tc>
          <w:tcPr>
            <w:tcW w:w="2268"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A02010104台式计算机</w:t>
            </w:r>
          </w:p>
        </w:tc>
        <w:tc>
          <w:tcPr>
            <w:tcW w:w="1855" w:type="dxa"/>
            <w:vAlign w:val="center"/>
          </w:tcPr>
          <w:p>
            <w:pPr>
              <w:rPr>
                <w:rFonts w:ascii="宋体" w:hAnsi="宋体" w:cs="宋体"/>
                <w:color w:val="auto"/>
                <w:w w:val="90"/>
                <w:szCs w:val="21"/>
                <w:highlight w:val="none"/>
              </w:rPr>
            </w:pPr>
          </w:p>
        </w:tc>
        <w:tc>
          <w:tcPr>
            <w:tcW w:w="3390"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HJ2536微型计算机、显示器</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continue"/>
            <w:vAlign w:val="center"/>
          </w:tcPr>
          <w:p>
            <w:pPr>
              <w:jc w:val="center"/>
              <w:rPr>
                <w:rFonts w:ascii="宋体" w:hAnsi="宋体" w:cs="宋体"/>
                <w:color w:val="auto"/>
                <w:w w:val="90"/>
                <w:szCs w:val="21"/>
                <w:highlight w:val="none"/>
              </w:rPr>
            </w:pPr>
          </w:p>
        </w:tc>
        <w:tc>
          <w:tcPr>
            <w:tcW w:w="1985" w:type="dxa"/>
            <w:vMerge w:val="continue"/>
            <w:vAlign w:val="center"/>
          </w:tcPr>
          <w:p>
            <w:pPr>
              <w:rPr>
                <w:rFonts w:ascii="宋体" w:hAnsi="宋体" w:cs="宋体"/>
                <w:color w:val="auto"/>
                <w:w w:val="90"/>
                <w:szCs w:val="21"/>
                <w:highlight w:val="none"/>
              </w:rPr>
            </w:pPr>
          </w:p>
        </w:tc>
        <w:tc>
          <w:tcPr>
            <w:tcW w:w="2268"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A02010105便携式计算机</w:t>
            </w:r>
          </w:p>
        </w:tc>
        <w:tc>
          <w:tcPr>
            <w:tcW w:w="1855" w:type="dxa"/>
            <w:vAlign w:val="center"/>
          </w:tcPr>
          <w:p>
            <w:pPr>
              <w:rPr>
                <w:rFonts w:ascii="宋体" w:hAnsi="宋体" w:cs="宋体"/>
                <w:color w:val="auto"/>
                <w:w w:val="90"/>
                <w:szCs w:val="21"/>
                <w:highlight w:val="none"/>
              </w:rPr>
            </w:pPr>
          </w:p>
        </w:tc>
        <w:tc>
          <w:tcPr>
            <w:tcW w:w="3390"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HJ2536微型计算机、显示器</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continue"/>
            <w:vAlign w:val="center"/>
          </w:tcPr>
          <w:p>
            <w:pPr>
              <w:jc w:val="center"/>
              <w:rPr>
                <w:rFonts w:ascii="宋体" w:hAnsi="宋体" w:cs="宋体"/>
                <w:color w:val="auto"/>
                <w:w w:val="90"/>
                <w:szCs w:val="21"/>
                <w:highlight w:val="none"/>
              </w:rPr>
            </w:pPr>
          </w:p>
        </w:tc>
        <w:tc>
          <w:tcPr>
            <w:tcW w:w="1985" w:type="dxa"/>
            <w:vMerge w:val="continue"/>
            <w:vAlign w:val="center"/>
          </w:tcPr>
          <w:p>
            <w:pPr>
              <w:rPr>
                <w:rFonts w:ascii="宋体" w:hAnsi="宋体" w:cs="宋体"/>
                <w:color w:val="auto"/>
                <w:w w:val="90"/>
                <w:szCs w:val="21"/>
                <w:highlight w:val="none"/>
              </w:rPr>
            </w:pPr>
          </w:p>
        </w:tc>
        <w:tc>
          <w:tcPr>
            <w:tcW w:w="2268"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A02010107平板式微型计算机</w:t>
            </w:r>
          </w:p>
        </w:tc>
        <w:tc>
          <w:tcPr>
            <w:tcW w:w="1855" w:type="dxa"/>
            <w:vAlign w:val="center"/>
          </w:tcPr>
          <w:p>
            <w:pPr>
              <w:rPr>
                <w:rFonts w:ascii="宋体" w:hAnsi="宋体" w:cs="宋体"/>
                <w:color w:val="auto"/>
                <w:w w:val="90"/>
                <w:szCs w:val="21"/>
                <w:highlight w:val="none"/>
              </w:rPr>
            </w:pPr>
          </w:p>
        </w:tc>
        <w:tc>
          <w:tcPr>
            <w:tcW w:w="3390"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HJ2536微型计算机、显示器</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continue"/>
            <w:vAlign w:val="center"/>
          </w:tcPr>
          <w:p>
            <w:pPr>
              <w:jc w:val="center"/>
              <w:rPr>
                <w:rFonts w:ascii="宋体" w:hAnsi="宋体" w:cs="宋体"/>
                <w:color w:val="auto"/>
                <w:w w:val="90"/>
                <w:szCs w:val="21"/>
                <w:highlight w:val="none"/>
              </w:rPr>
            </w:pPr>
          </w:p>
        </w:tc>
        <w:tc>
          <w:tcPr>
            <w:tcW w:w="1985" w:type="dxa"/>
            <w:vMerge w:val="continue"/>
            <w:vAlign w:val="center"/>
          </w:tcPr>
          <w:p>
            <w:pPr>
              <w:rPr>
                <w:rFonts w:ascii="宋体" w:hAnsi="宋体" w:cs="宋体"/>
                <w:color w:val="auto"/>
                <w:w w:val="90"/>
                <w:szCs w:val="21"/>
                <w:highlight w:val="none"/>
              </w:rPr>
            </w:pPr>
          </w:p>
        </w:tc>
        <w:tc>
          <w:tcPr>
            <w:tcW w:w="2268"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A02010108网络计算机</w:t>
            </w:r>
          </w:p>
        </w:tc>
        <w:tc>
          <w:tcPr>
            <w:tcW w:w="1855" w:type="dxa"/>
            <w:vAlign w:val="center"/>
          </w:tcPr>
          <w:p>
            <w:pPr>
              <w:rPr>
                <w:rFonts w:ascii="宋体" w:hAnsi="宋体" w:cs="宋体"/>
                <w:color w:val="auto"/>
                <w:w w:val="90"/>
                <w:szCs w:val="21"/>
                <w:highlight w:val="none"/>
              </w:rPr>
            </w:pPr>
          </w:p>
        </w:tc>
        <w:tc>
          <w:tcPr>
            <w:tcW w:w="3390"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HJ2536微型计算机、显示器</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continue"/>
            <w:vAlign w:val="center"/>
          </w:tcPr>
          <w:p>
            <w:pPr>
              <w:jc w:val="center"/>
              <w:rPr>
                <w:rFonts w:ascii="宋体" w:hAnsi="宋体" w:cs="宋体"/>
                <w:color w:val="auto"/>
                <w:w w:val="90"/>
                <w:szCs w:val="21"/>
                <w:highlight w:val="none"/>
              </w:rPr>
            </w:pPr>
          </w:p>
        </w:tc>
        <w:tc>
          <w:tcPr>
            <w:tcW w:w="1985" w:type="dxa"/>
            <w:vMerge w:val="continue"/>
            <w:vAlign w:val="center"/>
          </w:tcPr>
          <w:p>
            <w:pPr>
              <w:rPr>
                <w:rFonts w:ascii="宋体" w:hAnsi="宋体" w:cs="宋体"/>
                <w:color w:val="auto"/>
                <w:w w:val="90"/>
                <w:szCs w:val="21"/>
                <w:highlight w:val="none"/>
              </w:rPr>
            </w:pPr>
          </w:p>
        </w:tc>
        <w:tc>
          <w:tcPr>
            <w:tcW w:w="2268"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A02010109计算机工作站</w:t>
            </w:r>
          </w:p>
        </w:tc>
        <w:tc>
          <w:tcPr>
            <w:tcW w:w="1855" w:type="dxa"/>
            <w:vAlign w:val="center"/>
          </w:tcPr>
          <w:p>
            <w:pPr>
              <w:rPr>
                <w:rFonts w:ascii="宋体" w:hAnsi="宋体" w:cs="宋体"/>
                <w:color w:val="auto"/>
                <w:w w:val="90"/>
                <w:szCs w:val="21"/>
                <w:highlight w:val="none"/>
              </w:rPr>
            </w:pPr>
          </w:p>
        </w:tc>
        <w:tc>
          <w:tcPr>
            <w:tcW w:w="3390"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HJ2536微型计算机、显示器</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continue"/>
            <w:vAlign w:val="center"/>
          </w:tcPr>
          <w:p>
            <w:pPr>
              <w:jc w:val="center"/>
              <w:rPr>
                <w:rFonts w:ascii="宋体" w:hAnsi="宋体" w:cs="宋体"/>
                <w:color w:val="auto"/>
                <w:w w:val="90"/>
                <w:szCs w:val="21"/>
                <w:highlight w:val="none"/>
              </w:rPr>
            </w:pPr>
          </w:p>
        </w:tc>
        <w:tc>
          <w:tcPr>
            <w:tcW w:w="1985" w:type="dxa"/>
            <w:vMerge w:val="continue"/>
            <w:vAlign w:val="center"/>
          </w:tcPr>
          <w:p>
            <w:pPr>
              <w:rPr>
                <w:rFonts w:ascii="宋体" w:hAnsi="宋体" w:cs="宋体"/>
                <w:color w:val="auto"/>
                <w:w w:val="90"/>
                <w:szCs w:val="21"/>
                <w:highlight w:val="none"/>
              </w:rPr>
            </w:pPr>
          </w:p>
        </w:tc>
        <w:tc>
          <w:tcPr>
            <w:tcW w:w="2268"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A02010199其他计算机设备</w:t>
            </w:r>
          </w:p>
        </w:tc>
        <w:tc>
          <w:tcPr>
            <w:tcW w:w="1855" w:type="dxa"/>
            <w:vAlign w:val="center"/>
          </w:tcPr>
          <w:p>
            <w:pPr>
              <w:rPr>
                <w:rFonts w:ascii="宋体" w:hAnsi="宋体" w:cs="宋体"/>
                <w:color w:val="auto"/>
                <w:w w:val="90"/>
                <w:szCs w:val="21"/>
                <w:highlight w:val="none"/>
              </w:rPr>
            </w:pPr>
          </w:p>
        </w:tc>
        <w:tc>
          <w:tcPr>
            <w:tcW w:w="3390"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HJ2536微型计算机、显示器</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restart"/>
            <w:vAlign w:val="center"/>
          </w:tcPr>
          <w:p>
            <w:pPr>
              <w:jc w:val="center"/>
              <w:rPr>
                <w:rFonts w:ascii="宋体" w:hAnsi="宋体" w:cs="宋体"/>
                <w:color w:val="auto"/>
                <w:w w:val="90"/>
                <w:szCs w:val="21"/>
                <w:highlight w:val="none"/>
              </w:rPr>
            </w:pPr>
            <w:r>
              <w:rPr>
                <w:rFonts w:hint="eastAsia" w:ascii="宋体" w:hAnsi="宋体" w:cs="宋体"/>
                <w:color w:val="auto"/>
                <w:w w:val="90"/>
                <w:szCs w:val="21"/>
                <w:highlight w:val="none"/>
              </w:rPr>
              <w:t>2</w:t>
            </w:r>
          </w:p>
        </w:tc>
        <w:tc>
          <w:tcPr>
            <w:tcW w:w="1985" w:type="dxa"/>
            <w:vMerge w:val="restart"/>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A020106输入输出设备</w:t>
            </w:r>
          </w:p>
        </w:tc>
        <w:tc>
          <w:tcPr>
            <w:tcW w:w="2268" w:type="dxa"/>
            <w:vMerge w:val="restart"/>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A02010601打印设备</w:t>
            </w:r>
          </w:p>
        </w:tc>
        <w:tc>
          <w:tcPr>
            <w:tcW w:w="1855"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A0201060101喷墨打印机</w:t>
            </w:r>
          </w:p>
        </w:tc>
        <w:tc>
          <w:tcPr>
            <w:tcW w:w="3390"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HJ2512打印机、传真机及多功能一体机</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continue"/>
            <w:vAlign w:val="center"/>
          </w:tcPr>
          <w:p>
            <w:pPr>
              <w:jc w:val="center"/>
              <w:rPr>
                <w:rFonts w:ascii="宋体" w:hAnsi="宋体" w:cs="宋体"/>
                <w:color w:val="auto"/>
                <w:w w:val="90"/>
                <w:szCs w:val="21"/>
                <w:highlight w:val="none"/>
              </w:rPr>
            </w:pPr>
          </w:p>
        </w:tc>
        <w:tc>
          <w:tcPr>
            <w:tcW w:w="1985" w:type="dxa"/>
            <w:vMerge w:val="continue"/>
            <w:vAlign w:val="center"/>
          </w:tcPr>
          <w:p>
            <w:pPr>
              <w:rPr>
                <w:rFonts w:ascii="宋体" w:hAnsi="宋体" w:cs="宋体"/>
                <w:color w:val="auto"/>
                <w:w w:val="90"/>
                <w:szCs w:val="21"/>
                <w:highlight w:val="none"/>
              </w:rPr>
            </w:pPr>
          </w:p>
        </w:tc>
        <w:tc>
          <w:tcPr>
            <w:tcW w:w="2268" w:type="dxa"/>
            <w:vMerge w:val="continue"/>
            <w:vAlign w:val="center"/>
          </w:tcPr>
          <w:p>
            <w:pPr>
              <w:rPr>
                <w:rFonts w:ascii="宋体" w:hAnsi="宋体" w:cs="宋体"/>
                <w:color w:val="auto"/>
                <w:w w:val="90"/>
                <w:szCs w:val="21"/>
                <w:highlight w:val="none"/>
              </w:rPr>
            </w:pPr>
          </w:p>
        </w:tc>
        <w:tc>
          <w:tcPr>
            <w:tcW w:w="1855"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A0201060102激光打印机</w:t>
            </w:r>
          </w:p>
        </w:tc>
        <w:tc>
          <w:tcPr>
            <w:tcW w:w="3390"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HJ2512打印机、传真机及多功能一体机</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continue"/>
            <w:vAlign w:val="center"/>
          </w:tcPr>
          <w:p>
            <w:pPr>
              <w:jc w:val="center"/>
              <w:rPr>
                <w:rFonts w:ascii="宋体" w:hAnsi="宋体" w:cs="宋体"/>
                <w:color w:val="auto"/>
                <w:w w:val="90"/>
                <w:szCs w:val="21"/>
                <w:highlight w:val="none"/>
              </w:rPr>
            </w:pPr>
          </w:p>
        </w:tc>
        <w:tc>
          <w:tcPr>
            <w:tcW w:w="1985" w:type="dxa"/>
            <w:vMerge w:val="continue"/>
            <w:vAlign w:val="center"/>
          </w:tcPr>
          <w:p>
            <w:pPr>
              <w:rPr>
                <w:rFonts w:ascii="宋体" w:hAnsi="宋体" w:cs="宋体"/>
                <w:color w:val="auto"/>
                <w:w w:val="90"/>
                <w:szCs w:val="21"/>
                <w:highlight w:val="none"/>
              </w:rPr>
            </w:pPr>
          </w:p>
        </w:tc>
        <w:tc>
          <w:tcPr>
            <w:tcW w:w="2268" w:type="dxa"/>
            <w:vMerge w:val="continue"/>
            <w:vAlign w:val="center"/>
          </w:tcPr>
          <w:p>
            <w:pPr>
              <w:rPr>
                <w:rFonts w:ascii="宋体" w:hAnsi="宋体" w:cs="宋体"/>
                <w:color w:val="auto"/>
                <w:w w:val="90"/>
                <w:szCs w:val="21"/>
                <w:highlight w:val="none"/>
              </w:rPr>
            </w:pPr>
          </w:p>
        </w:tc>
        <w:tc>
          <w:tcPr>
            <w:tcW w:w="1855"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A0201060103热式打印机</w:t>
            </w:r>
          </w:p>
        </w:tc>
        <w:tc>
          <w:tcPr>
            <w:tcW w:w="3390"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HJ2512打印机、传真机及多功能一体机</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continue"/>
            <w:vAlign w:val="center"/>
          </w:tcPr>
          <w:p>
            <w:pPr>
              <w:jc w:val="center"/>
              <w:rPr>
                <w:rFonts w:ascii="宋体" w:hAnsi="宋体" w:cs="宋体"/>
                <w:color w:val="auto"/>
                <w:w w:val="90"/>
                <w:szCs w:val="21"/>
                <w:highlight w:val="none"/>
              </w:rPr>
            </w:pPr>
          </w:p>
        </w:tc>
        <w:tc>
          <w:tcPr>
            <w:tcW w:w="1985" w:type="dxa"/>
            <w:vMerge w:val="continue"/>
            <w:vAlign w:val="center"/>
          </w:tcPr>
          <w:p>
            <w:pPr>
              <w:rPr>
                <w:rFonts w:ascii="宋体" w:hAnsi="宋体" w:cs="宋体"/>
                <w:color w:val="auto"/>
                <w:w w:val="90"/>
                <w:szCs w:val="21"/>
                <w:highlight w:val="none"/>
              </w:rPr>
            </w:pPr>
          </w:p>
        </w:tc>
        <w:tc>
          <w:tcPr>
            <w:tcW w:w="2268" w:type="dxa"/>
            <w:vMerge w:val="continue"/>
            <w:vAlign w:val="center"/>
          </w:tcPr>
          <w:p>
            <w:pPr>
              <w:rPr>
                <w:rFonts w:ascii="宋体" w:hAnsi="宋体" w:cs="宋体"/>
                <w:color w:val="auto"/>
                <w:w w:val="90"/>
                <w:szCs w:val="21"/>
                <w:highlight w:val="none"/>
              </w:rPr>
            </w:pPr>
          </w:p>
        </w:tc>
        <w:tc>
          <w:tcPr>
            <w:tcW w:w="1855"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A0201060104针式打印机</w:t>
            </w:r>
          </w:p>
        </w:tc>
        <w:tc>
          <w:tcPr>
            <w:tcW w:w="3390"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HJ2512打印机、传真机及多功能一体机</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continue"/>
            <w:vAlign w:val="center"/>
          </w:tcPr>
          <w:p>
            <w:pPr>
              <w:jc w:val="center"/>
              <w:rPr>
                <w:rFonts w:ascii="宋体" w:hAnsi="宋体" w:cs="宋体"/>
                <w:color w:val="auto"/>
                <w:w w:val="90"/>
                <w:szCs w:val="21"/>
                <w:highlight w:val="none"/>
              </w:rPr>
            </w:pPr>
          </w:p>
        </w:tc>
        <w:tc>
          <w:tcPr>
            <w:tcW w:w="1985" w:type="dxa"/>
            <w:vMerge w:val="continue"/>
            <w:vAlign w:val="center"/>
          </w:tcPr>
          <w:p>
            <w:pPr>
              <w:rPr>
                <w:rFonts w:ascii="宋体" w:hAnsi="宋体" w:cs="宋体"/>
                <w:color w:val="auto"/>
                <w:w w:val="90"/>
                <w:szCs w:val="21"/>
                <w:highlight w:val="none"/>
              </w:rPr>
            </w:pPr>
          </w:p>
        </w:tc>
        <w:tc>
          <w:tcPr>
            <w:tcW w:w="2268" w:type="dxa"/>
            <w:vMerge w:val="restart"/>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A02010604显示设备</w:t>
            </w:r>
          </w:p>
        </w:tc>
        <w:tc>
          <w:tcPr>
            <w:tcW w:w="1855"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A0201060401液晶显示器</w:t>
            </w:r>
          </w:p>
        </w:tc>
        <w:tc>
          <w:tcPr>
            <w:tcW w:w="3390"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HJ2536微型计算机、显示器</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continue"/>
            <w:vAlign w:val="center"/>
          </w:tcPr>
          <w:p>
            <w:pPr>
              <w:jc w:val="center"/>
              <w:rPr>
                <w:rFonts w:ascii="宋体" w:hAnsi="宋体" w:cs="宋体"/>
                <w:color w:val="auto"/>
                <w:w w:val="90"/>
                <w:szCs w:val="21"/>
                <w:highlight w:val="none"/>
              </w:rPr>
            </w:pPr>
          </w:p>
        </w:tc>
        <w:tc>
          <w:tcPr>
            <w:tcW w:w="1985" w:type="dxa"/>
            <w:vMerge w:val="continue"/>
            <w:vAlign w:val="center"/>
          </w:tcPr>
          <w:p>
            <w:pPr>
              <w:rPr>
                <w:rFonts w:ascii="宋体" w:hAnsi="宋体" w:cs="宋体"/>
                <w:color w:val="auto"/>
                <w:w w:val="90"/>
                <w:szCs w:val="21"/>
                <w:highlight w:val="none"/>
              </w:rPr>
            </w:pPr>
          </w:p>
        </w:tc>
        <w:tc>
          <w:tcPr>
            <w:tcW w:w="2268" w:type="dxa"/>
            <w:vMerge w:val="continue"/>
            <w:vAlign w:val="center"/>
          </w:tcPr>
          <w:p>
            <w:pPr>
              <w:rPr>
                <w:rFonts w:ascii="宋体" w:hAnsi="宋体" w:cs="宋体"/>
                <w:color w:val="auto"/>
                <w:w w:val="90"/>
                <w:szCs w:val="21"/>
                <w:highlight w:val="none"/>
              </w:rPr>
            </w:pPr>
          </w:p>
        </w:tc>
        <w:tc>
          <w:tcPr>
            <w:tcW w:w="1855"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A0201060499其他显示器</w:t>
            </w:r>
          </w:p>
        </w:tc>
        <w:tc>
          <w:tcPr>
            <w:tcW w:w="3390"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HJ2536微型计算机、显示器</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continue"/>
            <w:vAlign w:val="center"/>
          </w:tcPr>
          <w:p>
            <w:pPr>
              <w:jc w:val="center"/>
              <w:rPr>
                <w:rFonts w:ascii="宋体" w:hAnsi="宋体" w:cs="宋体"/>
                <w:color w:val="auto"/>
                <w:w w:val="90"/>
                <w:szCs w:val="21"/>
                <w:highlight w:val="none"/>
              </w:rPr>
            </w:pPr>
          </w:p>
        </w:tc>
        <w:tc>
          <w:tcPr>
            <w:tcW w:w="1985" w:type="dxa"/>
            <w:vMerge w:val="continue"/>
            <w:vAlign w:val="center"/>
          </w:tcPr>
          <w:p>
            <w:pPr>
              <w:rPr>
                <w:rFonts w:ascii="宋体" w:hAnsi="宋体" w:cs="宋体"/>
                <w:color w:val="auto"/>
                <w:w w:val="90"/>
                <w:szCs w:val="21"/>
                <w:highlight w:val="none"/>
              </w:rPr>
            </w:pPr>
          </w:p>
        </w:tc>
        <w:tc>
          <w:tcPr>
            <w:tcW w:w="2268"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A02010609图形图像输入设备</w:t>
            </w:r>
          </w:p>
        </w:tc>
        <w:tc>
          <w:tcPr>
            <w:tcW w:w="1855"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A0201060901扫描仪</w:t>
            </w:r>
          </w:p>
        </w:tc>
        <w:tc>
          <w:tcPr>
            <w:tcW w:w="3390"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HJ2517扫描仪</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cs="宋体"/>
                <w:color w:val="auto"/>
                <w:w w:val="90"/>
                <w:szCs w:val="21"/>
                <w:highlight w:val="none"/>
              </w:rPr>
            </w:pPr>
            <w:r>
              <w:rPr>
                <w:rFonts w:hint="eastAsia" w:ascii="宋体" w:hAnsi="宋体" w:cs="宋体"/>
                <w:color w:val="auto"/>
                <w:w w:val="90"/>
                <w:szCs w:val="21"/>
                <w:highlight w:val="none"/>
              </w:rPr>
              <w:t>3</w:t>
            </w:r>
          </w:p>
        </w:tc>
        <w:tc>
          <w:tcPr>
            <w:tcW w:w="1985"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A020202投影仪</w:t>
            </w:r>
          </w:p>
        </w:tc>
        <w:tc>
          <w:tcPr>
            <w:tcW w:w="2268" w:type="dxa"/>
            <w:vAlign w:val="center"/>
          </w:tcPr>
          <w:p>
            <w:pPr>
              <w:rPr>
                <w:rFonts w:ascii="宋体" w:hAnsi="宋体" w:cs="宋体"/>
                <w:color w:val="auto"/>
                <w:w w:val="90"/>
                <w:szCs w:val="21"/>
                <w:highlight w:val="none"/>
              </w:rPr>
            </w:pPr>
          </w:p>
        </w:tc>
        <w:tc>
          <w:tcPr>
            <w:tcW w:w="1855" w:type="dxa"/>
            <w:vAlign w:val="center"/>
          </w:tcPr>
          <w:p>
            <w:pPr>
              <w:rPr>
                <w:rFonts w:ascii="宋体" w:hAnsi="宋体" w:cs="宋体"/>
                <w:color w:val="auto"/>
                <w:w w:val="90"/>
                <w:szCs w:val="21"/>
                <w:highlight w:val="none"/>
              </w:rPr>
            </w:pPr>
          </w:p>
        </w:tc>
        <w:tc>
          <w:tcPr>
            <w:tcW w:w="3390"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HJ2516投影仪</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cs="宋体"/>
                <w:color w:val="auto"/>
                <w:w w:val="90"/>
                <w:szCs w:val="21"/>
                <w:highlight w:val="none"/>
              </w:rPr>
            </w:pPr>
            <w:r>
              <w:rPr>
                <w:rFonts w:hint="eastAsia" w:ascii="宋体" w:hAnsi="宋体" w:cs="宋体"/>
                <w:color w:val="auto"/>
                <w:w w:val="90"/>
                <w:szCs w:val="21"/>
                <w:highlight w:val="none"/>
              </w:rPr>
              <w:t>4</w:t>
            </w:r>
          </w:p>
        </w:tc>
        <w:tc>
          <w:tcPr>
            <w:tcW w:w="1985"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A020201复印机</w:t>
            </w:r>
          </w:p>
        </w:tc>
        <w:tc>
          <w:tcPr>
            <w:tcW w:w="2268" w:type="dxa"/>
            <w:vAlign w:val="center"/>
          </w:tcPr>
          <w:p>
            <w:pPr>
              <w:rPr>
                <w:rFonts w:ascii="宋体" w:hAnsi="宋体" w:cs="宋体"/>
                <w:color w:val="auto"/>
                <w:w w:val="90"/>
                <w:szCs w:val="21"/>
                <w:highlight w:val="none"/>
              </w:rPr>
            </w:pPr>
          </w:p>
        </w:tc>
        <w:tc>
          <w:tcPr>
            <w:tcW w:w="1855" w:type="dxa"/>
            <w:vAlign w:val="center"/>
          </w:tcPr>
          <w:p>
            <w:pPr>
              <w:rPr>
                <w:rFonts w:ascii="宋体" w:hAnsi="宋体" w:cs="宋体"/>
                <w:color w:val="auto"/>
                <w:w w:val="90"/>
                <w:szCs w:val="21"/>
                <w:highlight w:val="none"/>
              </w:rPr>
            </w:pPr>
          </w:p>
        </w:tc>
        <w:tc>
          <w:tcPr>
            <w:tcW w:w="3390"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HJ424数字式复印（包括多功能）设备</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cs="宋体"/>
                <w:color w:val="auto"/>
                <w:w w:val="90"/>
                <w:szCs w:val="21"/>
                <w:highlight w:val="none"/>
              </w:rPr>
            </w:pPr>
            <w:r>
              <w:rPr>
                <w:rFonts w:hint="eastAsia" w:ascii="宋体" w:hAnsi="宋体" w:cs="宋体"/>
                <w:color w:val="auto"/>
                <w:w w:val="90"/>
                <w:szCs w:val="21"/>
                <w:highlight w:val="none"/>
              </w:rPr>
              <w:t>5</w:t>
            </w:r>
          </w:p>
        </w:tc>
        <w:tc>
          <w:tcPr>
            <w:tcW w:w="1985"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A020204352多功能一体机</w:t>
            </w:r>
          </w:p>
        </w:tc>
        <w:tc>
          <w:tcPr>
            <w:tcW w:w="2268" w:type="dxa"/>
            <w:vAlign w:val="center"/>
          </w:tcPr>
          <w:p>
            <w:pPr>
              <w:rPr>
                <w:rFonts w:ascii="宋体" w:hAnsi="宋体" w:cs="宋体"/>
                <w:color w:val="auto"/>
                <w:w w:val="90"/>
                <w:szCs w:val="21"/>
                <w:highlight w:val="none"/>
              </w:rPr>
            </w:pPr>
          </w:p>
        </w:tc>
        <w:tc>
          <w:tcPr>
            <w:tcW w:w="1855" w:type="dxa"/>
            <w:vAlign w:val="center"/>
          </w:tcPr>
          <w:p>
            <w:pPr>
              <w:rPr>
                <w:rFonts w:ascii="宋体" w:hAnsi="宋体" w:cs="宋体"/>
                <w:color w:val="auto"/>
                <w:w w:val="90"/>
                <w:szCs w:val="21"/>
                <w:highlight w:val="none"/>
              </w:rPr>
            </w:pPr>
          </w:p>
        </w:tc>
        <w:tc>
          <w:tcPr>
            <w:tcW w:w="3390"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HJ424数字式复印（包括多功能）设备</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cs="宋体"/>
                <w:color w:val="auto"/>
                <w:w w:val="90"/>
                <w:szCs w:val="21"/>
                <w:highlight w:val="none"/>
              </w:rPr>
            </w:pPr>
            <w:r>
              <w:rPr>
                <w:rFonts w:hint="eastAsia" w:ascii="宋体" w:hAnsi="宋体" w:cs="宋体"/>
                <w:color w:val="auto"/>
                <w:w w:val="90"/>
                <w:szCs w:val="21"/>
                <w:highlight w:val="none"/>
              </w:rPr>
              <w:t>6</w:t>
            </w:r>
          </w:p>
        </w:tc>
        <w:tc>
          <w:tcPr>
            <w:tcW w:w="1985"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A020210文印设备</w:t>
            </w:r>
          </w:p>
        </w:tc>
        <w:tc>
          <w:tcPr>
            <w:tcW w:w="2268"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A02021001速印机</w:t>
            </w:r>
          </w:p>
        </w:tc>
        <w:tc>
          <w:tcPr>
            <w:tcW w:w="1855" w:type="dxa"/>
            <w:vAlign w:val="center"/>
          </w:tcPr>
          <w:p>
            <w:pPr>
              <w:rPr>
                <w:rFonts w:ascii="宋体" w:hAnsi="宋体" w:cs="宋体"/>
                <w:color w:val="auto"/>
                <w:w w:val="90"/>
                <w:szCs w:val="21"/>
                <w:highlight w:val="none"/>
              </w:rPr>
            </w:pPr>
          </w:p>
        </w:tc>
        <w:tc>
          <w:tcPr>
            <w:tcW w:w="3390"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HJ472数字式一体化速印机</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cs="宋体"/>
                <w:color w:val="auto"/>
                <w:w w:val="90"/>
                <w:szCs w:val="21"/>
                <w:highlight w:val="none"/>
              </w:rPr>
            </w:pPr>
            <w:r>
              <w:rPr>
                <w:rFonts w:hint="eastAsia" w:ascii="宋体" w:hAnsi="宋体" w:cs="宋体"/>
                <w:color w:val="auto"/>
                <w:w w:val="90"/>
                <w:szCs w:val="21"/>
                <w:highlight w:val="none"/>
              </w:rPr>
              <w:t>7</w:t>
            </w:r>
          </w:p>
        </w:tc>
        <w:tc>
          <w:tcPr>
            <w:tcW w:w="1985"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A020301载货汽车（含自卸汽车）</w:t>
            </w:r>
          </w:p>
        </w:tc>
        <w:tc>
          <w:tcPr>
            <w:tcW w:w="2268" w:type="dxa"/>
            <w:vAlign w:val="center"/>
          </w:tcPr>
          <w:p>
            <w:pPr>
              <w:rPr>
                <w:rFonts w:ascii="宋体" w:hAnsi="宋体" w:cs="宋体"/>
                <w:color w:val="auto"/>
                <w:w w:val="90"/>
                <w:szCs w:val="21"/>
                <w:highlight w:val="none"/>
              </w:rPr>
            </w:pPr>
          </w:p>
        </w:tc>
        <w:tc>
          <w:tcPr>
            <w:tcW w:w="1855" w:type="dxa"/>
            <w:vAlign w:val="center"/>
          </w:tcPr>
          <w:p>
            <w:pPr>
              <w:rPr>
                <w:rFonts w:ascii="宋体" w:hAnsi="宋体" w:cs="宋体"/>
                <w:color w:val="auto"/>
                <w:w w:val="90"/>
                <w:szCs w:val="21"/>
                <w:highlight w:val="none"/>
              </w:rPr>
            </w:pPr>
          </w:p>
        </w:tc>
        <w:tc>
          <w:tcPr>
            <w:tcW w:w="3390"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HJ2532轻型汽车</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restart"/>
            <w:vAlign w:val="center"/>
          </w:tcPr>
          <w:p>
            <w:pPr>
              <w:jc w:val="center"/>
              <w:rPr>
                <w:rFonts w:ascii="宋体" w:hAnsi="宋体" w:cs="宋体"/>
                <w:color w:val="auto"/>
                <w:w w:val="90"/>
                <w:szCs w:val="21"/>
                <w:highlight w:val="none"/>
              </w:rPr>
            </w:pPr>
            <w:r>
              <w:rPr>
                <w:rFonts w:hint="eastAsia" w:ascii="宋体" w:hAnsi="宋体" w:cs="宋体"/>
                <w:color w:val="auto"/>
                <w:w w:val="90"/>
                <w:szCs w:val="21"/>
                <w:highlight w:val="none"/>
              </w:rPr>
              <w:t>8</w:t>
            </w:r>
          </w:p>
        </w:tc>
        <w:tc>
          <w:tcPr>
            <w:tcW w:w="1985" w:type="dxa"/>
            <w:vMerge w:val="restart"/>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A020305乘用车（轿车）</w:t>
            </w:r>
          </w:p>
        </w:tc>
        <w:tc>
          <w:tcPr>
            <w:tcW w:w="2268"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A02030501轿车</w:t>
            </w:r>
          </w:p>
        </w:tc>
        <w:tc>
          <w:tcPr>
            <w:tcW w:w="1855" w:type="dxa"/>
            <w:vAlign w:val="center"/>
          </w:tcPr>
          <w:p>
            <w:pPr>
              <w:rPr>
                <w:rFonts w:ascii="宋体" w:hAnsi="宋体" w:cs="宋体"/>
                <w:color w:val="auto"/>
                <w:w w:val="90"/>
                <w:szCs w:val="21"/>
                <w:highlight w:val="none"/>
              </w:rPr>
            </w:pPr>
          </w:p>
        </w:tc>
        <w:tc>
          <w:tcPr>
            <w:tcW w:w="3390"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HJ2532轻型汽车</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continue"/>
            <w:vAlign w:val="center"/>
          </w:tcPr>
          <w:p>
            <w:pPr>
              <w:jc w:val="center"/>
              <w:rPr>
                <w:rFonts w:ascii="宋体" w:hAnsi="宋体" w:cs="宋体"/>
                <w:color w:val="auto"/>
                <w:w w:val="90"/>
                <w:szCs w:val="21"/>
                <w:highlight w:val="none"/>
              </w:rPr>
            </w:pPr>
          </w:p>
        </w:tc>
        <w:tc>
          <w:tcPr>
            <w:tcW w:w="1985" w:type="dxa"/>
            <w:vMerge w:val="continue"/>
            <w:vAlign w:val="center"/>
          </w:tcPr>
          <w:p>
            <w:pPr>
              <w:rPr>
                <w:rFonts w:ascii="宋体" w:hAnsi="宋体" w:cs="宋体"/>
                <w:color w:val="auto"/>
                <w:w w:val="90"/>
                <w:szCs w:val="21"/>
                <w:highlight w:val="none"/>
              </w:rPr>
            </w:pPr>
          </w:p>
        </w:tc>
        <w:tc>
          <w:tcPr>
            <w:tcW w:w="2268"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A02030599其他乘用车（轿车）</w:t>
            </w:r>
          </w:p>
        </w:tc>
        <w:tc>
          <w:tcPr>
            <w:tcW w:w="1855" w:type="dxa"/>
            <w:vAlign w:val="center"/>
          </w:tcPr>
          <w:p>
            <w:pPr>
              <w:rPr>
                <w:rFonts w:ascii="宋体" w:hAnsi="宋体" w:cs="宋体"/>
                <w:color w:val="auto"/>
                <w:w w:val="90"/>
                <w:szCs w:val="21"/>
                <w:highlight w:val="none"/>
              </w:rPr>
            </w:pPr>
          </w:p>
        </w:tc>
        <w:tc>
          <w:tcPr>
            <w:tcW w:w="3390"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HJ2532轻型汽车</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cs="宋体"/>
                <w:color w:val="auto"/>
                <w:w w:val="90"/>
                <w:szCs w:val="21"/>
                <w:highlight w:val="none"/>
              </w:rPr>
            </w:pPr>
            <w:r>
              <w:rPr>
                <w:rFonts w:hint="eastAsia" w:ascii="宋体" w:hAnsi="宋体" w:cs="宋体"/>
                <w:color w:val="auto"/>
                <w:w w:val="90"/>
                <w:szCs w:val="21"/>
                <w:highlight w:val="none"/>
              </w:rPr>
              <w:t>9</w:t>
            </w:r>
          </w:p>
        </w:tc>
        <w:tc>
          <w:tcPr>
            <w:tcW w:w="1985"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A020306客车</w:t>
            </w:r>
          </w:p>
        </w:tc>
        <w:tc>
          <w:tcPr>
            <w:tcW w:w="2268"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A02030601小型客车</w:t>
            </w:r>
          </w:p>
        </w:tc>
        <w:tc>
          <w:tcPr>
            <w:tcW w:w="1855" w:type="dxa"/>
            <w:vAlign w:val="center"/>
          </w:tcPr>
          <w:p>
            <w:pPr>
              <w:rPr>
                <w:rFonts w:ascii="宋体" w:hAnsi="宋体" w:cs="宋体"/>
                <w:color w:val="auto"/>
                <w:w w:val="90"/>
                <w:szCs w:val="21"/>
                <w:highlight w:val="none"/>
              </w:rPr>
            </w:pPr>
          </w:p>
        </w:tc>
        <w:tc>
          <w:tcPr>
            <w:tcW w:w="3390"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HJ2532轻型汽车</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cs="宋体"/>
                <w:color w:val="auto"/>
                <w:w w:val="90"/>
                <w:szCs w:val="21"/>
                <w:highlight w:val="none"/>
              </w:rPr>
            </w:pPr>
            <w:r>
              <w:rPr>
                <w:rFonts w:hint="eastAsia" w:ascii="宋体" w:hAnsi="宋体" w:cs="宋体"/>
                <w:color w:val="auto"/>
                <w:w w:val="90"/>
                <w:szCs w:val="21"/>
                <w:highlight w:val="none"/>
              </w:rPr>
              <w:t>10</w:t>
            </w:r>
          </w:p>
        </w:tc>
        <w:tc>
          <w:tcPr>
            <w:tcW w:w="1985"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A020307专用车辆</w:t>
            </w:r>
          </w:p>
        </w:tc>
        <w:tc>
          <w:tcPr>
            <w:tcW w:w="2268"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A02030799其他专用汽车</w:t>
            </w:r>
          </w:p>
        </w:tc>
        <w:tc>
          <w:tcPr>
            <w:tcW w:w="1855" w:type="dxa"/>
            <w:vAlign w:val="center"/>
          </w:tcPr>
          <w:p>
            <w:pPr>
              <w:rPr>
                <w:rFonts w:ascii="宋体" w:hAnsi="宋体" w:cs="宋体"/>
                <w:color w:val="auto"/>
                <w:w w:val="90"/>
                <w:szCs w:val="21"/>
                <w:highlight w:val="none"/>
              </w:rPr>
            </w:pPr>
          </w:p>
        </w:tc>
        <w:tc>
          <w:tcPr>
            <w:tcW w:w="3390"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HJ2532轻型汽车</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restart"/>
            <w:vAlign w:val="center"/>
          </w:tcPr>
          <w:p>
            <w:pPr>
              <w:jc w:val="center"/>
              <w:rPr>
                <w:rFonts w:ascii="宋体" w:hAnsi="宋体" w:cs="宋体"/>
                <w:color w:val="auto"/>
                <w:w w:val="90"/>
                <w:szCs w:val="21"/>
                <w:highlight w:val="none"/>
              </w:rPr>
            </w:pPr>
            <w:r>
              <w:rPr>
                <w:rFonts w:hint="eastAsia" w:ascii="宋体" w:hAnsi="宋体" w:cs="宋体"/>
                <w:color w:val="auto"/>
                <w:w w:val="90"/>
                <w:szCs w:val="21"/>
                <w:highlight w:val="none"/>
              </w:rPr>
              <w:t>11</w:t>
            </w:r>
          </w:p>
        </w:tc>
        <w:tc>
          <w:tcPr>
            <w:tcW w:w="1985" w:type="dxa"/>
            <w:vMerge w:val="restart"/>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A020523制冷空调设备</w:t>
            </w:r>
          </w:p>
        </w:tc>
        <w:tc>
          <w:tcPr>
            <w:tcW w:w="2268"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A02052301制冷压缩机</w:t>
            </w:r>
          </w:p>
        </w:tc>
        <w:tc>
          <w:tcPr>
            <w:tcW w:w="1855" w:type="dxa"/>
            <w:vAlign w:val="center"/>
          </w:tcPr>
          <w:p>
            <w:pPr>
              <w:rPr>
                <w:rFonts w:ascii="宋体" w:hAnsi="宋体" w:cs="宋体"/>
                <w:color w:val="auto"/>
                <w:w w:val="90"/>
                <w:szCs w:val="21"/>
                <w:highlight w:val="none"/>
              </w:rPr>
            </w:pPr>
          </w:p>
        </w:tc>
        <w:tc>
          <w:tcPr>
            <w:tcW w:w="3390"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HJ2531工商用制冷设备</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continue"/>
            <w:vAlign w:val="center"/>
          </w:tcPr>
          <w:p>
            <w:pPr>
              <w:jc w:val="center"/>
              <w:rPr>
                <w:rFonts w:ascii="宋体" w:hAnsi="宋体" w:cs="宋体"/>
                <w:color w:val="auto"/>
                <w:w w:val="90"/>
                <w:szCs w:val="21"/>
                <w:highlight w:val="none"/>
              </w:rPr>
            </w:pPr>
          </w:p>
        </w:tc>
        <w:tc>
          <w:tcPr>
            <w:tcW w:w="1985" w:type="dxa"/>
            <w:vMerge w:val="continue"/>
            <w:vAlign w:val="center"/>
          </w:tcPr>
          <w:p>
            <w:pPr>
              <w:rPr>
                <w:rFonts w:ascii="宋体" w:hAnsi="宋体" w:cs="宋体"/>
                <w:color w:val="auto"/>
                <w:w w:val="90"/>
                <w:szCs w:val="21"/>
                <w:highlight w:val="none"/>
              </w:rPr>
            </w:pPr>
          </w:p>
        </w:tc>
        <w:tc>
          <w:tcPr>
            <w:tcW w:w="2268"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A02052305空调机组</w:t>
            </w:r>
          </w:p>
        </w:tc>
        <w:tc>
          <w:tcPr>
            <w:tcW w:w="1855" w:type="dxa"/>
            <w:vAlign w:val="center"/>
          </w:tcPr>
          <w:p>
            <w:pPr>
              <w:rPr>
                <w:rFonts w:ascii="宋体" w:hAnsi="宋体" w:cs="宋体"/>
                <w:color w:val="auto"/>
                <w:w w:val="90"/>
                <w:szCs w:val="21"/>
                <w:highlight w:val="none"/>
              </w:rPr>
            </w:pPr>
          </w:p>
        </w:tc>
        <w:tc>
          <w:tcPr>
            <w:tcW w:w="3390"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HJ2531工商用制冷设备</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continue"/>
            <w:vAlign w:val="center"/>
          </w:tcPr>
          <w:p>
            <w:pPr>
              <w:jc w:val="center"/>
              <w:rPr>
                <w:rFonts w:ascii="宋体" w:hAnsi="宋体" w:cs="宋体"/>
                <w:color w:val="auto"/>
                <w:w w:val="90"/>
                <w:szCs w:val="21"/>
                <w:highlight w:val="none"/>
              </w:rPr>
            </w:pPr>
          </w:p>
        </w:tc>
        <w:tc>
          <w:tcPr>
            <w:tcW w:w="1985" w:type="dxa"/>
            <w:vMerge w:val="continue"/>
            <w:vAlign w:val="center"/>
          </w:tcPr>
          <w:p>
            <w:pPr>
              <w:rPr>
                <w:rFonts w:ascii="宋体" w:hAnsi="宋体" w:cs="宋体"/>
                <w:color w:val="auto"/>
                <w:w w:val="90"/>
                <w:szCs w:val="21"/>
                <w:highlight w:val="none"/>
              </w:rPr>
            </w:pPr>
          </w:p>
        </w:tc>
        <w:tc>
          <w:tcPr>
            <w:tcW w:w="2268"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A02052309专用制冷、空调设备</w:t>
            </w:r>
          </w:p>
        </w:tc>
        <w:tc>
          <w:tcPr>
            <w:tcW w:w="1855" w:type="dxa"/>
            <w:vAlign w:val="center"/>
          </w:tcPr>
          <w:p>
            <w:pPr>
              <w:rPr>
                <w:rFonts w:ascii="宋体" w:hAnsi="宋体" w:cs="宋体"/>
                <w:color w:val="auto"/>
                <w:w w:val="90"/>
                <w:szCs w:val="21"/>
                <w:highlight w:val="none"/>
              </w:rPr>
            </w:pPr>
          </w:p>
        </w:tc>
        <w:tc>
          <w:tcPr>
            <w:tcW w:w="3390"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HJ2531工商用制冷设备</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restart"/>
            <w:vAlign w:val="center"/>
          </w:tcPr>
          <w:p>
            <w:pPr>
              <w:jc w:val="center"/>
              <w:rPr>
                <w:rFonts w:ascii="宋体" w:hAnsi="宋体" w:cs="宋体"/>
                <w:color w:val="auto"/>
                <w:w w:val="90"/>
                <w:szCs w:val="21"/>
                <w:highlight w:val="none"/>
              </w:rPr>
            </w:pPr>
            <w:r>
              <w:rPr>
                <w:rFonts w:hint="eastAsia" w:ascii="宋体" w:hAnsi="宋体" w:cs="宋体"/>
                <w:color w:val="auto"/>
                <w:w w:val="90"/>
                <w:szCs w:val="21"/>
                <w:highlight w:val="none"/>
              </w:rPr>
              <w:t>12</w:t>
            </w:r>
          </w:p>
        </w:tc>
        <w:tc>
          <w:tcPr>
            <w:tcW w:w="1985" w:type="dxa"/>
            <w:vMerge w:val="restart"/>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A020618生活用电器</w:t>
            </w:r>
          </w:p>
        </w:tc>
        <w:tc>
          <w:tcPr>
            <w:tcW w:w="2268"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A02061802空气调节电器</w:t>
            </w:r>
          </w:p>
        </w:tc>
        <w:tc>
          <w:tcPr>
            <w:tcW w:w="1855"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A0206180203空调机</w:t>
            </w:r>
          </w:p>
        </w:tc>
        <w:tc>
          <w:tcPr>
            <w:tcW w:w="3390"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HJ2535房间空气调节器</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continue"/>
            <w:vAlign w:val="center"/>
          </w:tcPr>
          <w:p>
            <w:pPr>
              <w:jc w:val="center"/>
              <w:rPr>
                <w:rFonts w:ascii="宋体" w:hAnsi="宋体" w:cs="宋体"/>
                <w:color w:val="auto"/>
                <w:w w:val="90"/>
                <w:szCs w:val="21"/>
                <w:highlight w:val="none"/>
              </w:rPr>
            </w:pPr>
          </w:p>
        </w:tc>
        <w:tc>
          <w:tcPr>
            <w:tcW w:w="1985" w:type="dxa"/>
            <w:vMerge w:val="continue"/>
            <w:vAlign w:val="center"/>
          </w:tcPr>
          <w:p>
            <w:pPr>
              <w:rPr>
                <w:rFonts w:ascii="宋体" w:hAnsi="宋体" w:cs="宋体"/>
                <w:color w:val="auto"/>
                <w:w w:val="90"/>
                <w:szCs w:val="21"/>
                <w:highlight w:val="none"/>
              </w:rPr>
            </w:pPr>
          </w:p>
        </w:tc>
        <w:tc>
          <w:tcPr>
            <w:tcW w:w="2268"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A02061808热水器</w:t>
            </w:r>
          </w:p>
        </w:tc>
        <w:tc>
          <w:tcPr>
            <w:tcW w:w="1855" w:type="dxa"/>
            <w:vAlign w:val="center"/>
          </w:tcPr>
          <w:p>
            <w:pPr>
              <w:rPr>
                <w:rFonts w:ascii="宋体" w:hAnsi="宋体" w:cs="宋体"/>
                <w:color w:val="auto"/>
                <w:w w:val="90"/>
                <w:szCs w:val="21"/>
                <w:highlight w:val="none"/>
              </w:rPr>
            </w:pPr>
          </w:p>
        </w:tc>
        <w:tc>
          <w:tcPr>
            <w:tcW w:w="3390"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HJ/T362太阳能集热器</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cs="宋体"/>
                <w:color w:val="auto"/>
                <w:w w:val="90"/>
                <w:szCs w:val="21"/>
                <w:highlight w:val="none"/>
              </w:rPr>
            </w:pPr>
            <w:r>
              <w:rPr>
                <w:rFonts w:hint="eastAsia" w:ascii="宋体" w:hAnsi="宋体" w:cs="宋体"/>
                <w:color w:val="auto"/>
                <w:w w:val="90"/>
                <w:szCs w:val="21"/>
                <w:highlight w:val="none"/>
              </w:rPr>
              <w:t>13</w:t>
            </w:r>
          </w:p>
        </w:tc>
        <w:tc>
          <w:tcPr>
            <w:tcW w:w="1985"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A020619照明设备</w:t>
            </w:r>
          </w:p>
        </w:tc>
        <w:tc>
          <w:tcPr>
            <w:tcW w:w="2268"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A02061908室内照明灯具</w:t>
            </w:r>
          </w:p>
        </w:tc>
        <w:tc>
          <w:tcPr>
            <w:tcW w:w="1855" w:type="dxa"/>
            <w:vAlign w:val="center"/>
          </w:tcPr>
          <w:p>
            <w:pPr>
              <w:rPr>
                <w:rFonts w:ascii="宋体" w:hAnsi="宋体" w:cs="宋体"/>
                <w:color w:val="auto"/>
                <w:w w:val="90"/>
                <w:szCs w:val="21"/>
                <w:highlight w:val="none"/>
              </w:rPr>
            </w:pPr>
          </w:p>
        </w:tc>
        <w:tc>
          <w:tcPr>
            <w:tcW w:w="3390"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HJ2518照明光源</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cs="宋体"/>
                <w:color w:val="auto"/>
                <w:w w:val="90"/>
                <w:szCs w:val="21"/>
                <w:highlight w:val="none"/>
              </w:rPr>
            </w:pPr>
            <w:r>
              <w:rPr>
                <w:rFonts w:hint="eastAsia" w:ascii="宋体" w:hAnsi="宋体" w:cs="宋体"/>
                <w:color w:val="auto"/>
                <w:w w:val="90"/>
                <w:szCs w:val="21"/>
                <w:highlight w:val="none"/>
              </w:rPr>
              <w:t>14</w:t>
            </w:r>
          </w:p>
        </w:tc>
        <w:tc>
          <w:tcPr>
            <w:tcW w:w="1985"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A020810传真及数据数字通信设备</w:t>
            </w:r>
          </w:p>
        </w:tc>
        <w:tc>
          <w:tcPr>
            <w:tcW w:w="2268"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A02081001传真通信设备</w:t>
            </w:r>
          </w:p>
        </w:tc>
        <w:tc>
          <w:tcPr>
            <w:tcW w:w="1855" w:type="dxa"/>
            <w:vAlign w:val="center"/>
          </w:tcPr>
          <w:p>
            <w:pPr>
              <w:rPr>
                <w:rFonts w:ascii="宋体" w:hAnsi="宋体" w:cs="宋体"/>
                <w:color w:val="auto"/>
                <w:w w:val="90"/>
                <w:szCs w:val="21"/>
                <w:highlight w:val="none"/>
              </w:rPr>
            </w:pPr>
          </w:p>
        </w:tc>
        <w:tc>
          <w:tcPr>
            <w:tcW w:w="3390"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HJ2512打印机、传真机及多功能一体机</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restart"/>
            <w:vAlign w:val="center"/>
          </w:tcPr>
          <w:p>
            <w:pPr>
              <w:jc w:val="center"/>
              <w:rPr>
                <w:rFonts w:ascii="宋体" w:hAnsi="宋体" w:cs="宋体"/>
                <w:color w:val="auto"/>
                <w:w w:val="90"/>
                <w:szCs w:val="21"/>
                <w:highlight w:val="none"/>
              </w:rPr>
            </w:pPr>
            <w:r>
              <w:rPr>
                <w:rFonts w:hint="eastAsia" w:ascii="宋体" w:hAnsi="宋体" w:cs="宋体"/>
                <w:color w:val="auto"/>
                <w:w w:val="90"/>
                <w:szCs w:val="21"/>
                <w:highlight w:val="none"/>
              </w:rPr>
              <w:t>15</w:t>
            </w:r>
          </w:p>
        </w:tc>
        <w:tc>
          <w:tcPr>
            <w:tcW w:w="1985" w:type="dxa"/>
            <w:vMerge w:val="restart"/>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A020910电视设备</w:t>
            </w:r>
          </w:p>
        </w:tc>
        <w:tc>
          <w:tcPr>
            <w:tcW w:w="2268"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A02091001普通电视设备（电视机）</w:t>
            </w:r>
          </w:p>
        </w:tc>
        <w:tc>
          <w:tcPr>
            <w:tcW w:w="1855" w:type="dxa"/>
            <w:vAlign w:val="center"/>
          </w:tcPr>
          <w:p>
            <w:pPr>
              <w:rPr>
                <w:rFonts w:ascii="宋体" w:hAnsi="宋体" w:cs="宋体"/>
                <w:color w:val="auto"/>
                <w:w w:val="90"/>
                <w:szCs w:val="21"/>
                <w:highlight w:val="none"/>
              </w:rPr>
            </w:pPr>
          </w:p>
        </w:tc>
        <w:tc>
          <w:tcPr>
            <w:tcW w:w="3390"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HJ2506彩色电视广播接收机</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continue"/>
            <w:vAlign w:val="center"/>
          </w:tcPr>
          <w:p>
            <w:pPr>
              <w:jc w:val="center"/>
              <w:rPr>
                <w:rFonts w:ascii="宋体" w:hAnsi="宋体" w:cs="宋体"/>
                <w:color w:val="auto"/>
                <w:w w:val="90"/>
                <w:szCs w:val="21"/>
                <w:highlight w:val="none"/>
              </w:rPr>
            </w:pPr>
          </w:p>
        </w:tc>
        <w:tc>
          <w:tcPr>
            <w:tcW w:w="1985" w:type="dxa"/>
            <w:vMerge w:val="continue"/>
            <w:vAlign w:val="center"/>
          </w:tcPr>
          <w:p>
            <w:pPr>
              <w:rPr>
                <w:rFonts w:ascii="宋体" w:hAnsi="宋体" w:cs="宋体"/>
                <w:color w:val="auto"/>
                <w:w w:val="90"/>
                <w:szCs w:val="21"/>
                <w:highlight w:val="none"/>
              </w:rPr>
            </w:pPr>
          </w:p>
        </w:tc>
        <w:tc>
          <w:tcPr>
            <w:tcW w:w="2268"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A02091003特殊功能应用电视设备</w:t>
            </w:r>
          </w:p>
        </w:tc>
        <w:tc>
          <w:tcPr>
            <w:tcW w:w="1855" w:type="dxa"/>
            <w:vAlign w:val="center"/>
          </w:tcPr>
          <w:p>
            <w:pPr>
              <w:rPr>
                <w:rFonts w:ascii="宋体" w:hAnsi="宋体" w:cs="宋体"/>
                <w:color w:val="auto"/>
                <w:w w:val="90"/>
                <w:szCs w:val="21"/>
                <w:highlight w:val="none"/>
              </w:rPr>
            </w:pPr>
          </w:p>
        </w:tc>
        <w:tc>
          <w:tcPr>
            <w:tcW w:w="3390"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HJ2506彩色电视广播接收机</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restart"/>
            <w:vAlign w:val="center"/>
          </w:tcPr>
          <w:p>
            <w:pPr>
              <w:jc w:val="center"/>
              <w:rPr>
                <w:rFonts w:ascii="宋体" w:hAnsi="宋体" w:cs="宋体"/>
                <w:color w:val="auto"/>
                <w:w w:val="90"/>
                <w:szCs w:val="21"/>
                <w:highlight w:val="none"/>
              </w:rPr>
            </w:pPr>
            <w:r>
              <w:rPr>
                <w:rFonts w:hint="eastAsia" w:ascii="宋体" w:hAnsi="宋体" w:cs="宋体"/>
                <w:color w:val="auto"/>
                <w:w w:val="90"/>
                <w:szCs w:val="21"/>
                <w:highlight w:val="none"/>
              </w:rPr>
              <w:t>16</w:t>
            </w:r>
          </w:p>
        </w:tc>
        <w:tc>
          <w:tcPr>
            <w:tcW w:w="1985" w:type="dxa"/>
            <w:vMerge w:val="restart"/>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A0601床类</w:t>
            </w:r>
          </w:p>
        </w:tc>
        <w:tc>
          <w:tcPr>
            <w:tcW w:w="2268"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A060101钢木床类</w:t>
            </w:r>
          </w:p>
        </w:tc>
        <w:tc>
          <w:tcPr>
            <w:tcW w:w="1855" w:type="dxa"/>
            <w:vAlign w:val="center"/>
          </w:tcPr>
          <w:p>
            <w:pPr>
              <w:rPr>
                <w:rFonts w:ascii="宋体" w:hAnsi="宋体" w:cs="宋体"/>
                <w:color w:val="auto"/>
                <w:w w:val="90"/>
                <w:szCs w:val="21"/>
                <w:highlight w:val="none"/>
              </w:rPr>
            </w:pPr>
          </w:p>
        </w:tc>
        <w:tc>
          <w:tcPr>
            <w:tcW w:w="3390"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HJ2547家具/HJ2540木塑制品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continue"/>
            <w:vAlign w:val="center"/>
          </w:tcPr>
          <w:p>
            <w:pPr>
              <w:jc w:val="center"/>
              <w:rPr>
                <w:rFonts w:ascii="宋体" w:hAnsi="宋体" w:cs="宋体"/>
                <w:color w:val="auto"/>
                <w:w w:val="90"/>
                <w:szCs w:val="21"/>
                <w:highlight w:val="none"/>
              </w:rPr>
            </w:pPr>
          </w:p>
        </w:tc>
        <w:tc>
          <w:tcPr>
            <w:tcW w:w="1985" w:type="dxa"/>
            <w:vMerge w:val="continue"/>
            <w:vAlign w:val="center"/>
          </w:tcPr>
          <w:p>
            <w:pPr>
              <w:rPr>
                <w:rFonts w:ascii="宋体" w:hAnsi="宋体" w:cs="宋体"/>
                <w:color w:val="auto"/>
                <w:w w:val="90"/>
                <w:szCs w:val="21"/>
                <w:highlight w:val="none"/>
              </w:rPr>
            </w:pPr>
          </w:p>
        </w:tc>
        <w:tc>
          <w:tcPr>
            <w:tcW w:w="2268"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A060104木制床类</w:t>
            </w:r>
          </w:p>
        </w:tc>
        <w:tc>
          <w:tcPr>
            <w:tcW w:w="1855" w:type="dxa"/>
            <w:vAlign w:val="center"/>
          </w:tcPr>
          <w:p>
            <w:pPr>
              <w:rPr>
                <w:rFonts w:ascii="宋体" w:hAnsi="宋体" w:cs="宋体"/>
                <w:color w:val="auto"/>
                <w:w w:val="90"/>
                <w:szCs w:val="21"/>
                <w:highlight w:val="none"/>
              </w:rPr>
            </w:pPr>
          </w:p>
        </w:tc>
        <w:tc>
          <w:tcPr>
            <w:tcW w:w="3390"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HJ2547家具/HJ2540木塑制品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continue"/>
            <w:vAlign w:val="center"/>
          </w:tcPr>
          <w:p>
            <w:pPr>
              <w:jc w:val="center"/>
              <w:rPr>
                <w:rFonts w:ascii="宋体" w:hAnsi="宋体" w:cs="宋体"/>
                <w:color w:val="auto"/>
                <w:w w:val="90"/>
                <w:szCs w:val="21"/>
                <w:highlight w:val="none"/>
              </w:rPr>
            </w:pPr>
          </w:p>
        </w:tc>
        <w:tc>
          <w:tcPr>
            <w:tcW w:w="1985" w:type="dxa"/>
            <w:vMerge w:val="continue"/>
            <w:vAlign w:val="center"/>
          </w:tcPr>
          <w:p>
            <w:pPr>
              <w:rPr>
                <w:rFonts w:ascii="宋体" w:hAnsi="宋体" w:cs="宋体"/>
                <w:color w:val="auto"/>
                <w:w w:val="90"/>
                <w:szCs w:val="21"/>
                <w:highlight w:val="none"/>
              </w:rPr>
            </w:pPr>
          </w:p>
        </w:tc>
        <w:tc>
          <w:tcPr>
            <w:tcW w:w="2268"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A060199其他床类</w:t>
            </w:r>
          </w:p>
        </w:tc>
        <w:tc>
          <w:tcPr>
            <w:tcW w:w="1855" w:type="dxa"/>
            <w:vAlign w:val="center"/>
          </w:tcPr>
          <w:p>
            <w:pPr>
              <w:rPr>
                <w:rFonts w:ascii="宋体" w:hAnsi="宋体" w:cs="宋体"/>
                <w:color w:val="auto"/>
                <w:w w:val="90"/>
                <w:szCs w:val="21"/>
                <w:highlight w:val="none"/>
              </w:rPr>
            </w:pPr>
          </w:p>
        </w:tc>
        <w:tc>
          <w:tcPr>
            <w:tcW w:w="3390"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HJ2547家具/HJ2540木塑制品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restart"/>
            <w:vAlign w:val="center"/>
          </w:tcPr>
          <w:p>
            <w:pPr>
              <w:jc w:val="center"/>
              <w:rPr>
                <w:rFonts w:ascii="宋体" w:hAnsi="宋体" w:cs="宋体"/>
                <w:color w:val="auto"/>
                <w:w w:val="90"/>
                <w:szCs w:val="21"/>
                <w:highlight w:val="none"/>
              </w:rPr>
            </w:pPr>
            <w:r>
              <w:rPr>
                <w:rFonts w:hint="eastAsia" w:ascii="宋体" w:hAnsi="宋体" w:cs="宋体"/>
                <w:color w:val="auto"/>
                <w:w w:val="90"/>
                <w:szCs w:val="21"/>
                <w:highlight w:val="none"/>
              </w:rPr>
              <w:t>17</w:t>
            </w:r>
          </w:p>
        </w:tc>
        <w:tc>
          <w:tcPr>
            <w:tcW w:w="1985" w:type="dxa"/>
            <w:vMerge w:val="restart"/>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A0602台、桌类</w:t>
            </w:r>
          </w:p>
        </w:tc>
        <w:tc>
          <w:tcPr>
            <w:tcW w:w="2268"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A060201钢木台、桌类</w:t>
            </w:r>
          </w:p>
        </w:tc>
        <w:tc>
          <w:tcPr>
            <w:tcW w:w="1855" w:type="dxa"/>
            <w:vAlign w:val="center"/>
          </w:tcPr>
          <w:p>
            <w:pPr>
              <w:rPr>
                <w:rFonts w:ascii="宋体" w:hAnsi="宋体" w:cs="宋体"/>
                <w:color w:val="auto"/>
                <w:w w:val="90"/>
                <w:szCs w:val="21"/>
                <w:highlight w:val="none"/>
              </w:rPr>
            </w:pPr>
          </w:p>
        </w:tc>
        <w:tc>
          <w:tcPr>
            <w:tcW w:w="3390"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HJ2547家具/HJ2540木塑制品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continue"/>
            <w:vAlign w:val="center"/>
          </w:tcPr>
          <w:p>
            <w:pPr>
              <w:jc w:val="center"/>
              <w:rPr>
                <w:rFonts w:ascii="宋体" w:hAnsi="宋体" w:cs="宋体"/>
                <w:color w:val="auto"/>
                <w:w w:val="90"/>
                <w:szCs w:val="21"/>
                <w:highlight w:val="none"/>
              </w:rPr>
            </w:pPr>
          </w:p>
        </w:tc>
        <w:tc>
          <w:tcPr>
            <w:tcW w:w="1985" w:type="dxa"/>
            <w:vMerge w:val="continue"/>
            <w:vAlign w:val="center"/>
          </w:tcPr>
          <w:p>
            <w:pPr>
              <w:rPr>
                <w:rFonts w:ascii="宋体" w:hAnsi="宋体" w:cs="宋体"/>
                <w:color w:val="auto"/>
                <w:w w:val="90"/>
                <w:szCs w:val="21"/>
                <w:highlight w:val="none"/>
              </w:rPr>
            </w:pPr>
          </w:p>
        </w:tc>
        <w:tc>
          <w:tcPr>
            <w:tcW w:w="2268"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A060205木制台、桌类</w:t>
            </w:r>
          </w:p>
        </w:tc>
        <w:tc>
          <w:tcPr>
            <w:tcW w:w="1855" w:type="dxa"/>
            <w:vAlign w:val="center"/>
          </w:tcPr>
          <w:p>
            <w:pPr>
              <w:rPr>
                <w:rFonts w:ascii="宋体" w:hAnsi="宋体" w:cs="宋体"/>
                <w:color w:val="auto"/>
                <w:w w:val="90"/>
                <w:szCs w:val="21"/>
                <w:highlight w:val="none"/>
              </w:rPr>
            </w:pPr>
          </w:p>
        </w:tc>
        <w:tc>
          <w:tcPr>
            <w:tcW w:w="3390"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HJ2547家具/HJ2540木塑制品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continue"/>
            <w:vAlign w:val="center"/>
          </w:tcPr>
          <w:p>
            <w:pPr>
              <w:jc w:val="center"/>
              <w:rPr>
                <w:rFonts w:ascii="宋体" w:hAnsi="宋体" w:cs="宋体"/>
                <w:color w:val="auto"/>
                <w:w w:val="90"/>
                <w:szCs w:val="21"/>
                <w:highlight w:val="none"/>
              </w:rPr>
            </w:pPr>
          </w:p>
        </w:tc>
        <w:tc>
          <w:tcPr>
            <w:tcW w:w="1985" w:type="dxa"/>
            <w:vMerge w:val="continue"/>
            <w:vAlign w:val="center"/>
          </w:tcPr>
          <w:p>
            <w:pPr>
              <w:rPr>
                <w:rFonts w:ascii="宋体" w:hAnsi="宋体" w:cs="宋体"/>
                <w:color w:val="auto"/>
                <w:w w:val="90"/>
                <w:szCs w:val="21"/>
                <w:highlight w:val="none"/>
              </w:rPr>
            </w:pPr>
          </w:p>
        </w:tc>
        <w:tc>
          <w:tcPr>
            <w:tcW w:w="2268"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A060299其他台、桌类</w:t>
            </w:r>
          </w:p>
        </w:tc>
        <w:tc>
          <w:tcPr>
            <w:tcW w:w="1855" w:type="dxa"/>
            <w:vAlign w:val="center"/>
          </w:tcPr>
          <w:p>
            <w:pPr>
              <w:rPr>
                <w:rFonts w:ascii="宋体" w:hAnsi="宋体" w:cs="宋体"/>
                <w:color w:val="auto"/>
                <w:w w:val="90"/>
                <w:szCs w:val="21"/>
                <w:highlight w:val="none"/>
              </w:rPr>
            </w:pPr>
          </w:p>
        </w:tc>
        <w:tc>
          <w:tcPr>
            <w:tcW w:w="3390"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HJ2547家具/HJ2540木塑制品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restart"/>
            <w:vAlign w:val="center"/>
          </w:tcPr>
          <w:p>
            <w:pPr>
              <w:jc w:val="center"/>
              <w:rPr>
                <w:rFonts w:ascii="宋体" w:hAnsi="宋体" w:cs="宋体"/>
                <w:color w:val="auto"/>
                <w:w w:val="90"/>
                <w:szCs w:val="21"/>
                <w:highlight w:val="none"/>
              </w:rPr>
            </w:pPr>
            <w:r>
              <w:rPr>
                <w:rFonts w:hint="eastAsia" w:ascii="宋体" w:hAnsi="宋体" w:cs="宋体"/>
                <w:color w:val="auto"/>
                <w:w w:val="90"/>
                <w:szCs w:val="21"/>
                <w:highlight w:val="none"/>
              </w:rPr>
              <w:t>18</w:t>
            </w:r>
          </w:p>
        </w:tc>
        <w:tc>
          <w:tcPr>
            <w:tcW w:w="1985" w:type="dxa"/>
            <w:vMerge w:val="restart"/>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A0603椅凳类</w:t>
            </w:r>
          </w:p>
        </w:tc>
        <w:tc>
          <w:tcPr>
            <w:tcW w:w="2268"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A060301金属骨架为主的椅凳类</w:t>
            </w:r>
          </w:p>
        </w:tc>
        <w:tc>
          <w:tcPr>
            <w:tcW w:w="1855" w:type="dxa"/>
            <w:vAlign w:val="center"/>
          </w:tcPr>
          <w:p>
            <w:pPr>
              <w:rPr>
                <w:rFonts w:ascii="宋体" w:hAnsi="宋体" w:cs="宋体"/>
                <w:color w:val="auto"/>
                <w:w w:val="90"/>
                <w:szCs w:val="21"/>
                <w:highlight w:val="none"/>
              </w:rPr>
            </w:pPr>
          </w:p>
        </w:tc>
        <w:tc>
          <w:tcPr>
            <w:tcW w:w="3390"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HJ2547家具/HJ2540木塑制品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continue"/>
            <w:vAlign w:val="center"/>
          </w:tcPr>
          <w:p>
            <w:pPr>
              <w:jc w:val="center"/>
              <w:rPr>
                <w:rFonts w:ascii="宋体" w:hAnsi="宋体" w:cs="宋体"/>
                <w:color w:val="auto"/>
                <w:w w:val="90"/>
                <w:szCs w:val="21"/>
                <w:highlight w:val="none"/>
              </w:rPr>
            </w:pPr>
          </w:p>
        </w:tc>
        <w:tc>
          <w:tcPr>
            <w:tcW w:w="1985" w:type="dxa"/>
            <w:vMerge w:val="continue"/>
            <w:vAlign w:val="center"/>
          </w:tcPr>
          <w:p>
            <w:pPr>
              <w:rPr>
                <w:rFonts w:ascii="宋体" w:hAnsi="宋体" w:cs="宋体"/>
                <w:color w:val="auto"/>
                <w:w w:val="90"/>
                <w:szCs w:val="21"/>
                <w:highlight w:val="none"/>
              </w:rPr>
            </w:pPr>
          </w:p>
        </w:tc>
        <w:tc>
          <w:tcPr>
            <w:tcW w:w="2268"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A060302木骨架为主的椅凳类</w:t>
            </w:r>
          </w:p>
        </w:tc>
        <w:tc>
          <w:tcPr>
            <w:tcW w:w="1855" w:type="dxa"/>
            <w:vAlign w:val="center"/>
          </w:tcPr>
          <w:p>
            <w:pPr>
              <w:rPr>
                <w:rFonts w:ascii="宋体" w:hAnsi="宋体" w:cs="宋体"/>
                <w:color w:val="auto"/>
                <w:w w:val="90"/>
                <w:szCs w:val="21"/>
                <w:highlight w:val="none"/>
              </w:rPr>
            </w:pPr>
          </w:p>
        </w:tc>
        <w:tc>
          <w:tcPr>
            <w:tcW w:w="3390"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HJ2547家具/HJ2540木塑制品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continue"/>
            <w:vAlign w:val="center"/>
          </w:tcPr>
          <w:p>
            <w:pPr>
              <w:jc w:val="center"/>
              <w:rPr>
                <w:rFonts w:ascii="宋体" w:hAnsi="宋体" w:cs="宋体"/>
                <w:color w:val="auto"/>
                <w:w w:val="90"/>
                <w:szCs w:val="21"/>
                <w:highlight w:val="none"/>
              </w:rPr>
            </w:pPr>
          </w:p>
        </w:tc>
        <w:tc>
          <w:tcPr>
            <w:tcW w:w="1985" w:type="dxa"/>
            <w:vMerge w:val="continue"/>
            <w:vAlign w:val="center"/>
          </w:tcPr>
          <w:p>
            <w:pPr>
              <w:rPr>
                <w:rFonts w:ascii="宋体" w:hAnsi="宋体" w:cs="宋体"/>
                <w:color w:val="auto"/>
                <w:w w:val="90"/>
                <w:szCs w:val="21"/>
                <w:highlight w:val="none"/>
              </w:rPr>
            </w:pPr>
          </w:p>
        </w:tc>
        <w:tc>
          <w:tcPr>
            <w:tcW w:w="2268"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A060399其他椅凳类</w:t>
            </w:r>
          </w:p>
        </w:tc>
        <w:tc>
          <w:tcPr>
            <w:tcW w:w="1855" w:type="dxa"/>
            <w:vAlign w:val="center"/>
          </w:tcPr>
          <w:p>
            <w:pPr>
              <w:rPr>
                <w:rFonts w:ascii="宋体" w:hAnsi="宋体" w:cs="宋体"/>
                <w:color w:val="auto"/>
                <w:w w:val="90"/>
                <w:szCs w:val="21"/>
                <w:highlight w:val="none"/>
              </w:rPr>
            </w:pPr>
          </w:p>
        </w:tc>
        <w:tc>
          <w:tcPr>
            <w:tcW w:w="3390"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HJ2547家具/HJ2540木塑制品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cs="宋体"/>
                <w:color w:val="auto"/>
                <w:w w:val="90"/>
                <w:szCs w:val="21"/>
                <w:highlight w:val="none"/>
              </w:rPr>
            </w:pPr>
            <w:r>
              <w:rPr>
                <w:rFonts w:hint="eastAsia" w:ascii="宋体" w:hAnsi="宋体" w:cs="宋体"/>
                <w:color w:val="auto"/>
                <w:w w:val="90"/>
                <w:szCs w:val="21"/>
                <w:highlight w:val="none"/>
              </w:rPr>
              <w:t>19</w:t>
            </w:r>
          </w:p>
        </w:tc>
        <w:tc>
          <w:tcPr>
            <w:tcW w:w="1985"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A0604沙发类</w:t>
            </w:r>
          </w:p>
        </w:tc>
        <w:tc>
          <w:tcPr>
            <w:tcW w:w="2268"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A060499其他沙发类</w:t>
            </w:r>
          </w:p>
        </w:tc>
        <w:tc>
          <w:tcPr>
            <w:tcW w:w="1855" w:type="dxa"/>
            <w:vAlign w:val="center"/>
          </w:tcPr>
          <w:p>
            <w:pPr>
              <w:rPr>
                <w:rFonts w:ascii="宋体" w:hAnsi="宋体" w:cs="宋体"/>
                <w:color w:val="auto"/>
                <w:w w:val="90"/>
                <w:szCs w:val="21"/>
                <w:highlight w:val="none"/>
              </w:rPr>
            </w:pPr>
          </w:p>
        </w:tc>
        <w:tc>
          <w:tcPr>
            <w:tcW w:w="3390"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HJ2547家具/HJ2540木塑制品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restart"/>
            <w:vAlign w:val="center"/>
          </w:tcPr>
          <w:p>
            <w:pPr>
              <w:jc w:val="center"/>
              <w:rPr>
                <w:rFonts w:ascii="宋体" w:hAnsi="宋体" w:cs="宋体"/>
                <w:color w:val="auto"/>
                <w:w w:val="90"/>
                <w:szCs w:val="21"/>
                <w:highlight w:val="none"/>
              </w:rPr>
            </w:pPr>
            <w:r>
              <w:rPr>
                <w:rFonts w:hint="eastAsia" w:ascii="宋体" w:hAnsi="宋体" w:cs="宋体"/>
                <w:color w:val="auto"/>
                <w:w w:val="90"/>
                <w:szCs w:val="21"/>
                <w:highlight w:val="none"/>
              </w:rPr>
              <w:t>20</w:t>
            </w:r>
          </w:p>
        </w:tc>
        <w:tc>
          <w:tcPr>
            <w:tcW w:w="1985" w:type="dxa"/>
            <w:vMerge w:val="restart"/>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A0605柜类</w:t>
            </w:r>
          </w:p>
        </w:tc>
        <w:tc>
          <w:tcPr>
            <w:tcW w:w="2268"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A060501木质柜类</w:t>
            </w:r>
          </w:p>
        </w:tc>
        <w:tc>
          <w:tcPr>
            <w:tcW w:w="1855" w:type="dxa"/>
            <w:vAlign w:val="center"/>
          </w:tcPr>
          <w:p>
            <w:pPr>
              <w:rPr>
                <w:rFonts w:ascii="宋体" w:hAnsi="宋体" w:cs="宋体"/>
                <w:color w:val="auto"/>
                <w:w w:val="90"/>
                <w:szCs w:val="21"/>
                <w:highlight w:val="none"/>
              </w:rPr>
            </w:pPr>
          </w:p>
        </w:tc>
        <w:tc>
          <w:tcPr>
            <w:tcW w:w="3390"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HJ2547家具/HJ2540木塑制品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continue"/>
            <w:vAlign w:val="center"/>
          </w:tcPr>
          <w:p>
            <w:pPr>
              <w:jc w:val="center"/>
              <w:rPr>
                <w:rFonts w:ascii="宋体" w:hAnsi="宋体" w:cs="宋体"/>
                <w:color w:val="auto"/>
                <w:w w:val="90"/>
                <w:szCs w:val="21"/>
                <w:highlight w:val="none"/>
              </w:rPr>
            </w:pPr>
          </w:p>
        </w:tc>
        <w:tc>
          <w:tcPr>
            <w:tcW w:w="1985" w:type="dxa"/>
            <w:vMerge w:val="continue"/>
            <w:vAlign w:val="center"/>
          </w:tcPr>
          <w:p>
            <w:pPr>
              <w:rPr>
                <w:rFonts w:ascii="宋体" w:hAnsi="宋体" w:cs="宋体"/>
                <w:color w:val="auto"/>
                <w:w w:val="90"/>
                <w:szCs w:val="21"/>
                <w:highlight w:val="none"/>
              </w:rPr>
            </w:pPr>
          </w:p>
        </w:tc>
        <w:tc>
          <w:tcPr>
            <w:tcW w:w="2268"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A060503金属质柜类</w:t>
            </w:r>
          </w:p>
        </w:tc>
        <w:tc>
          <w:tcPr>
            <w:tcW w:w="1855" w:type="dxa"/>
            <w:vAlign w:val="center"/>
          </w:tcPr>
          <w:p>
            <w:pPr>
              <w:rPr>
                <w:rFonts w:ascii="宋体" w:hAnsi="宋体" w:cs="宋体"/>
                <w:color w:val="auto"/>
                <w:w w:val="90"/>
                <w:szCs w:val="21"/>
                <w:highlight w:val="none"/>
              </w:rPr>
            </w:pPr>
          </w:p>
        </w:tc>
        <w:tc>
          <w:tcPr>
            <w:tcW w:w="3390"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HJ2547家具/HJ2540木塑制品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continue"/>
            <w:vAlign w:val="center"/>
          </w:tcPr>
          <w:p>
            <w:pPr>
              <w:jc w:val="center"/>
              <w:rPr>
                <w:rFonts w:ascii="宋体" w:hAnsi="宋体" w:cs="宋体"/>
                <w:color w:val="auto"/>
                <w:w w:val="90"/>
                <w:szCs w:val="21"/>
                <w:highlight w:val="none"/>
              </w:rPr>
            </w:pPr>
          </w:p>
        </w:tc>
        <w:tc>
          <w:tcPr>
            <w:tcW w:w="1985" w:type="dxa"/>
            <w:vMerge w:val="continue"/>
            <w:vAlign w:val="center"/>
          </w:tcPr>
          <w:p>
            <w:pPr>
              <w:rPr>
                <w:rFonts w:ascii="宋体" w:hAnsi="宋体" w:cs="宋体"/>
                <w:color w:val="auto"/>
                <w:w w:val="90"/>
                <w:szCs w:val="21"/>
                <w:highlight w:val="none"/>
              </w:rPr>
            </w:pPr>
          </w:p>
        </w:tc>
        <w:tc>
          <w:tcPr>
            <w:tcW w:w="2268"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A060599其他柜类</w:t>
            </w:r>
          </w:p>
        </w:tc>
        <w:tc>
          <w:tcPr>
            <w:tcW w:w="1855" w:type="dxa"/>
            <w:vAlign w:val="center"/>
          </w:tcPr>
          <w:p>
            <w:pPr>
              <w:rPr>
                <w:rFonts w:ascii="宋体" w:hAnsi="宋体" w:cs="宋体"/>
                <w:color w:val="auto"/>
                <w:w w:val="90"/>
                <w:szCs w:val="21"/>
                <w:highlight w:val="none"/>
              </w:rPr>
            </w:pPr>
          </w:p>
        </w:tc>
        <w:tc>
          <w:tcPr>
            <w:tcW w:w="3390"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HJ2547家具/HJ2540木塑制品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restart"/>
            <w:vAlign w:val="center"/>
          </w:tcPr>
          <w:p>
            <w:pPr>
              <w:jc w:val="center"/>
              <w:rPr>
                <w:rFonts w:ascii="宋体" w:hAnsi="宋体" w:cs="宋体"/>
                <w:color w:val="auto"/>
                <w:w w:val="90"/>
                <w:szCs w:val="21"/>
                <w:highlight w:val="none"/>
              </w:rPr>
            </w:pPr>
            <w:r>
              <w:rPr>
                <w:rFonts w:hint="eastAsia" w:ascii="宋体" w:hAnsi="宋体" w:cs="宋体"/>
                <w:color w:val="auto"/>
                <w:w w:val="90"/>
                <w:szCs w:val="21"/>
                <w:highlight w:val="none"/>
              </w:rPr>
              <w:t>21</w:t>
            </w:r>
          </w:p>
        </w:tc>
        <w:tc>
          <w:tcPr>
            <w:tcW w:w="1985" w:type="dxa"/>
            <w:vMerge w:val="restart"/>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A0606架类</w:t>
            </w:r>
          </w:p>
        </w:tc>
        <w:tc>
          <w:tcPr>
            <w:tcW w:w="2268"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A060601木质架类</w:t>
            </w:r>
          </w:p>
        </w:tc>
        <w:tc>
          <w:tcPr>
            <w:tcW w:w="1855" w:type="dxa"/>
            <w:vAlign w:val="center"/>
          </w:tcPr>
          <w:p>
            <w:pPr>
              <w:rPr>
                <w:rFonts w:ascii="宋体" w:hAnsi="宋体" w:cs="宋体"/>
                <w:color w:val="auto"/>
                <w:w w:val="90"/>
                <w:szCs w:val="21"/>
                <w:highlight w:val="none"/>
              </w:rPr>
            </w:pPr>
          </w:p>
        </w:tc>
        <w:tc>
          <w:tcPr>
            <w:tcW w:w="3390"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HJ2547家具/HJ2540木塑制品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continue"/>
            <w:vAlign w:val="center"/>
          </w:tcPr>
          <w:p>
            <w:pPr>
              <w:jc w:val="center"/>
              <w:rPr>
                <w:rFonts w:ascii="宋体" w:hAnsi="宋体" w:cs="宋体"/>
                <w:color w:val="auto"/>
                <w:w w:val="90"/>
                <w:szCs w:val="21"/>
                <w:highlight w:val="none"/>
              </w:rPr>
            </w:pPr>
          </w:p>
        </w:tc>
        <w:tc>
          <w:tcPr>
            <w:tcW w:w="1985" w:type="dxa"/>
            <w:vMerge w:val="continue"/>
            <w:vAlign w:val="center"/>
          </w:tcPr>
          <w:p>
            <w:pPr>
              <w:rPr>
                <w:rFonts w:ascii="宋体" w:hAnsi="宋体" w:cs="宋体"/>
                <w:color w:val="auto"/>
                <w:w w:val="90"/>
                <w:szCs w:val="21"/>
                <w:highlight w:val="none"/>
              </w:rPr>
            </w:pPr>
          </w:p>
        </w:tc>
        <w:tc>
          <w:tcPr>
            <w:tcW w:w="2268"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A060602金属质架类</w:t>
            </w:r>
          </w:p>
        </w:tc>
        <w:tc>
          <w:tcPr>
            <w:tcW w:w="1855" w:type="dxa"/>
            <w:vAlign w:val="center"/>
          </w:tcPr>
          <w:p>
            <w:pPr>
              <w:rPr>
                <w:rFonts w:ascii="宋体" w:hAnsi="宋体" w:cs="宋体"/>
                <w:color w:val="auto"/>
                <w:w w:val="90"/>
                <w:szCs w:val="21"/>
                <w:highlight w:val="none"/>
              </w:rPr>
            </w:pPr>
          </w:p>
        </w:tc>
        <w:tc>
          <w:tcPr>
            <w:tcW w:w="3390"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HJ2547家具/HJ2540木塑制品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restart"/>
            <w:vAlign w:val="center"/>
          </w:tcPr>
          <w:p>
            <w:pPr>
              <w:jc w:val="center"/>
              <w:rPr>
                <w:rFonts w:ascii="宋体" w:hAnsi="宋体" w:cs="宋体"/>
                <w:color w:val="auto"/>
                <w:w w:val="90"/>
                <w:szCs w:val="21"/>
                <w:highlight w:val="none"/>
              </w:rPr>
            </w:pPr>
            <w:r>
              <w:rPr>
                <w:rFonts w:hint="eastAsia" w:ascii="宋体" w:hAnsi="宋体" w:cs="宋体"/>
                <w:color w:val="auto"/>
                <w:w w:val="90"/>
                <w:szCs w:val="21"/>
                <w:highlight w:val="none"/>
              </w:rPr>
              <w:t>22</w:t>
            </w:r>
          </w:p>
        </w:tc>
        <w:tc>
          <w:tcPr>
            <w:tcW w:w="1985" w:type="dxa"/>
            <w:vMerge w:val="restart"/>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A0607屏风类</w:t>
            </w:r>
          </w:p>
        </w:tc>
        <w:tc>
          <w:tcPr>
            <w:tcW w:w="2268"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A060701木质屏风类</w:t>
            </w:r>
          </w:p>
        </w:tc>
        <w:tc>
          <w:tcPr>
            <w:tcW w:w="1855" w:type="dxa"/>
            <w:vAlign w:val="center"/>
          </w:tcPr>
          <w:p>
            <w:pPr>
              <w:rPr>
                <w:rFonts w:ascii="宋体" w:hAnsi="宋体" w:cs="宋体"/>
                <w:color w:val="auto"/>
                <w:w w:val="90"/>
                <w:szCs w:val="21"/>
                <w:highlight w:val="none"/>
              </w:rPr>
            </w:pPr>
          </w:p>
        </w:tc>
        <w:tc>
          <w:tcPr>
            <w:tcW w:w="3390"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HJ2547家具/HJ2540木塑制品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continue"/>
            <w:vAlign w:val="center"/>
          </w:tcPr>
          <w:p>
            <w:pPr>
              <w:jc w:val="center"/>
              <w:rPr>
                <w:rFonts w:ascii="宋体" w:hAnsi="宋体" w:cs="宋体"/>
                <w:color w:val="auto"/>
                <w:w w:val="90"/>
                <w:szCs w:val="21"/>
                <w:highlight w:val="none"/>
              </w:rPr>
            </w:pPr>
          </w:p>
        </w:tc>
        <w:tc>
          <w:tcPr>
            <w:tcW w:w="1985" w:type="dxa"/>
            <w:vMerge w:val="continue"/>
            <w:vAlign w:val="center"/>
          </w:tcPr>
          <w:p>
            <w:pPr>
              <w:rPr>
                <w:rFonts w:ascii="宋体" w:hAnsi="宋体" w:cs="宋体"/>
                <w:color w:val="auto"/>
                <w:w w:val="90"/>
                <w:szCs w:val="21"/>
                <w:highlight w:val="none"/>
              </w:rPr>
            </w:pPr>
          </w:p>
        </w:tc>
        <w:tc>
          <w:tcPr>
            <w:tcW w:w="2268"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A060702金属质屏风类</w:t>
            </w:r>
          </w:p>
        </w:tc>
        <w:tc>
          <w:tcPr>
            <w:tcW w:w="1855" w:type="dxa"/>
            <w:vAlign w:val="center"/>
          </w:tcPr>
          <w:p>
            <w:pPr>
              <w:rPr>
                <w:rFonts w:ascii="宋体" w:hAnsi="宋体" w:cs="宋体"/>
                <w:color w:val="auto"/>
                <w:w w:val="90"/>
                <w:szCs w:val="21"/>
                <w:highlight w:val="none"/>
              </w:rPr>
            </w:pPr>
          </w:p>
        </w:tc>
        <w:tc>
          <w:tcPr>
            <w:tcW w:w="3390"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HJ2547家具/HJ2540木塑制品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cs="宋体"/>
                <w:color w:val="auto"/>
                <w:w w:val="90"/>
                <w:szCs w:val="21"/>
                <w:highlight w:val="none"/>
              </w:rPr>
            </w:pPr>
            <w:r>
              <w:rPr>
                <w:rFonts w:hint="eastAsia" w:ascii="宋体" w:hAnsi="宋体" w:cs="宋体"/>
                <w:color w:val="auto"/>
                <w:w w:val="90"/>
                <w:szCs w:val="21"/>
                <w:highlight w:val="none"/>
              </w:rPr>
              <w:t>23</w:t>
            </w:r>
          </w:p>
        </w:tc>
        <w:tc>
          <w:tcPr>
            <w:tcW w:w="1985"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A060804水池</w:t>
            </w:r>
          </w:p>
        </w:tc>
        <w:tc>
          <w:tcPr>
            <w:tcW w:w="2268" w:type="dxa"/>
            <w:vAlign w:val="center"/>
          </w:tcPr>
          <w:p>
            <w:pPr>
              <w:rPr>
                <w:rFonts w:ascii="宋体" w:hAnsi="宋体" w:cs="宋体"/>
                <w:color w:val="auto"/>
                <w:w w:val="90"/>
                <w:szCs w:val="21"/>
                <w:highlight w:val="none"/>
              </w:rPr>
            </w:pPr>
          </w:p>
        </w:tc>
        <w:tc>
          <w:tcPr>
            <w:tcW w:w="1855" w:type="dxa"/>
            <w:vAlign w:val="center"/>
          </w:tcPr>
          <w:p>
            <w:pPr>
              <w:rPr>
                <w:rFonts w:ascii="宋体" w:hAnsi="宋体" w:cs="宋体"/>
                <w:color w:val="auto"/>
                <w:w w:val="90"/>
                <w:szCs w:val="21"/>
                <w:highlight w:val="none"/>
              </w:rPr>
            </w:pPr>
          </w:p>
        </w:tc>
        <w:tc>
          <w:tcPr>
            <w:tcW w:w="3390"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HJ/T296卫生陶瓷</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cs="宋体"/>
                <w:color w:val="auto"/>
                <w:w w:val="90"/>
                <w:szCs w:val="21"/>
                <w:highlight w:val="none"/>
              </w:rPr>
            </w:pPr>
            <w:r>
              <w:rPr>
                <w:rFonts w:hint="eastAsia" w:ascii="宋体" w:hAnsi="宋体" w:cs="宋体"/>
                <w:color w:val="auto"/>
                <w:w w:val="90"/>
                <w:szCs w:val="21"/>
                <w:highlight w:val="none"/>
              </w:rPr>
              <w:t>24</w:t>
            </w:r>
          </w:p>
        </w:tc>
        <w:tc>
          <w:tcPr>
            <w:tcW w:w="1985"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A060805便器</w:t>
            </w:r>
          </w:p>
        </w:tc>
        <w:tc>
          <w:tcPr>
            <w:tcW w:w="2268" w:type="dxa"/>
            <w:vAlign w:val="center"/>
          </w:tcPr>
          <w:p>
            <w:pPr>
              <w:rPr>
                <w:rFonts w:ascii="宋体" w:hAnsi="宋体" w:cs="宋体"/>
                <w:color w:val="auto"/>
                <w:w w:val="90"/>
                <w:szCs w:val="21"/>
                <w:highlight w:val="none"/>
              </w:rPr>
            </w:pPr>
          </w:p>
        </w:tc>
        <w:tc>
          <w:tcPr>
            <w:tcW w:w="1855" w:type="dxa"/>
            <w:vAlign w:val="center"/>
          </w:tcPr>
          <w:p>
            <w:pPr>
              <w:rPr>
                <w:rFonts w:ascii="宋体" w:hAnsi="宋体" w:cs="宋体"/>
                <w:color w:val="auto"/>
                <w:w w:val="90"/>
                <w:szCs w:val="21"/>
                <w:highlight w:val="none"/>
              </w:rPr>
            </w:pPr>
          </w:p>
        </w:tc>
        <w:tc>
          <w:tcPr>
            <w:tcW w:w="3390"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HJ/T296卫生陶瓷</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cs="宋体"/>
                <w:color w:val="auto"/>
                <w:w w:val="90"/>
                <w:szCs w:val="21"/>
                <w:highlight w:val="none"/>
              </w:rPr>
            </w:pPr>
            <w:r>
              <w:rPr>
                <w:rFonts w:hint="eastAsia" w:ascii="宋体" w:hAnsi="宋体" w:cs="宋体"/>
                <w:color w:val="auto"/>
                <w:w w:val="90"/>
                <w:szCs w:val="21"/>
                <w:highlight w:val="none"/>
              </w:rPr>
              <w:t>25</w:t>
            </w:r>
          </w:p>
        </w:tc>
        <w:tc>
          <w:tcPr>
            <w:tcW w:w="1985"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A060806水嘴</w:t>
            </w:r>
          </w:p>
        </w:tc>
        <w:tc>
          <w:tcPr>
            <w:tcW w:w="2268" w:type="dxa"/>
            <w:vAlign w:val="center"/>
          </w:tcPr>
          <w:p>
            <w:pPr>
              <w:rPr>
                <w:rFonts w:ascii="宋体" w:hAnsi="宋体" w:cs="宋体"/>
                <w:color w:val="auto"/>
                <w:w w:val="90"/>
                <w:szCs w:val="21"/>
                <w:highlight w:val="none"/>
              </w:rPr>
            </w:pPr>
          </w:p>
        </w:tc>
        <w:tc>
          <w:tcPr>
            <w:tcW w:w="1855" w:type="dxa"/>
            <w:vAlign w:val="center"/>
          </w:tcPr>
          <w:p>
            <w:pPr>
              <w:rPr>
                <w:rFonts w:ascii="宋体" w:hAnsi="宋体" w:cs="宋体"/>
                <w:color w:val="auto"/>
                <w:w w:val="90"/>
                <w:szCs w:val="21"/>
                <w:highlight w:val="none"/>
              </w:rPr>
            </w:pPr>
          </w:p>
        </w:tc>
        <w:tc>
          <w:tcPr>
            <w:tcW w:w="3390"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HJ/T411水嘴</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cs="宋体"/>
                <w:color w:val="auto"/>
                <w:w w:val="90"/>
                <w:szCs w:val="21"/>
                <w:highlight w:val="none"/>
              </w:rPr>
            </w:pPr>
            <w:r>
              <w:rPr>
                <w:rFonts w:hint="eastAsia" w:ascii="宋体" w:hAnsi="宋体" w:cs="宋体"/>
                <w:color w:val="auto"/>
                <w:w w:val="90"/>
                <w:szCs w:val="21"/>
                <w:highlight w:val="none"/>
              </w:rPr>
              <w:t>26</w:t>
            </w:r>
          </w:p>
        </w:tc>
        <w:tc>
          <w:tcPr>
            <w:tcW w:w="1985"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A0609组合家具</w:t>
            </w:r>
          </w:p>
        </w:tc>
        <w:tc>
          <w:tcPr>
            <w:tcW w:w="2268" w:type="dxa"/>
            <w:vAlign w:val="center"/>
          </w:tcPr>
          <w:p>
            <w:pPr>
              <w:rPr>
                <w:rFonts w:ascii="宋体" w:hAnsi="宋体" w:cs="宋体"/>
                <w:color w:val="auto"/>
                <w:w w:val="90"/>
                <w:szCs w:val="21"/>
                <w:highlight w:val="none"/>
              </w:rPr>
            </w:pPr>
          </w:p>
        </w:tc>
        <w:tc>
          <w:tcPr>
            <w:tcW w:w="1855" w:type="dxa"/>
            <w:vAlign w:val="center"/>
          </w:tcPr>
          <w:p>
            <w:pPr>
              <w:rPr>
                <w:rFonts w:ascii="宋体" w:hAnsi="宋体" w:cs="宋体"/>
                <w:color w:val="auto"/>
                <w:w w:val="90"/>
                <w:szCs w:val="21"/>
                <w:highlight w:val="none"/>
              </w:rPr>
            </w:pPr>
          </w:p>
        </w:tc>
        <w:tc>
          <w:tcPr>
            <w:tcW w:w="3390"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HJ2547家具/HJ2540木塑制品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cs="宋体"/>
                <w:color w:val="auto"/>
                <w:w w:val="90"/>
                <w:szCs w:val="21"/>
                <w:highlight w:val="none"/>
              </w:rPr>
            </w:pPr>
            <w:r>
              <w:rPr>
                <w:rFonts w:hint="eastAsia" w:ascii="宋体" w:hAnsi="宋体" w:cs="宋体"/>
                <w:color w:val="auto"/>
                <w:w w:val="90"/>
                <w:szCs w:val="21"/>
                <w:highlight w:val="none"/>
              </w:rPr>
              <w:t>27</w:t>
            </w:r>
          </w:p>
        </w:tc>
        <w:tc>
          <w:tcPr>
            <w:tcW w:w="1985"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A0610家用家具零配件</w:t>
            </w:r>
          </w:p>
        </w:tc>
        <w:tc>
          <w:tcPr>
            <w:tcW w:w="2268" w:type="dxa"/>
            <w:vAlign w:val="center"/>
          </w:tcPr>
          <w:p>
            <w:pPr>
              <w:rPr>
                <w:rFonts w:ascii="宋体" w:hAnsi="宋体" w:cs="宋体"/>
                <w:color w:val="auto"/>
                <w:w w:val="90"/>
                <w:szCs w:val="21"/>
                <w:highlight w:val="none"/>
              </w:rPr>
            </w:pPr>
          </w:p>
        </w:tc>
        <w:tc>
          <w:tcPr>
            <w:tcW w:w="1855" w:type="dxa"/>
            <w:vAlign w:val="center"/>
          </w:tcPr>
          <w:p>
            <w:pPr>
              <w:rPr>
                <w:rFonts w:ascii="宋体" w:hAnsi="宋体" w:cs="宋体"/>
                <w:color w:val="auto"/>
                <w:w w:val="90"/>
                <w:szCs w:val="21"/>
                <w:highlight w:val="none"/>
              </w:rPr>
            </w:pPr>
          </w:p>
        </w:tc>
        <w:tc>
          <w:tcPr>
            <w:tcW w:w="3390"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HJ2547家具/HJ2540木塑制品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cs="宋体"/>
                <w:color w:val="auto"/>
                <w:w w:val="90"/>
                <w:szCs w:val="21"/>
                <w:highlight w:val="none"/>
              </w:rPr>
            </w:pPr>
            <w:r>
              <w:rPr>
                <w:rFonts w:hint="eastAsia" w:ascii="宋体" w:hAnsi="宋体" w:cs="宋体"/>
                <w:color w:val="auto"/>
                <w:w w:val="90"/>
                <w:szCs w:val="21"/>
                <w:highlight w:val="none"/>
              </w:rPr>
              <w:t>28</w:t>
            </w:r>
          </w:p>
        </w:tc>
        <w:tc>
          <w:tcPr>
            <w:tcW w:w="1985"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A0699其他家具用具</w:t>
            </w:r>
          </w:p>
        </w:tc>
        <w:tc>
          <w:tcPr>
            <w:tcW w:w="2268" w:type="dxa"/>
            <w:vAlign w:val="center"/>
          </w:tcPr>
          <w:p>
            <w:pPr>
              <w:rPr>
                <w:rFonts w:ascii="宋体" w:hAnsi="宋体" w:cs="宋体"/>
                <w:color w:val="auto"/>
                <w:w w:val="90"/>
                <w:szCs w:val="21"/>
                <w:highlight w:val="none"/>
              </w:rPr>
            </w:pPr>
          </w:p>
        </w:tc>
        <w:tc>
          <w:tcPr>
            <w:tcW w:w="1855" w:type="dxa"/>
            <w:vAlign w:val="center"/>
          </w:tcPr>
          <w:p>
            <w:pPr>
              <w:rPr>
                <w:rFonts w:ascii="宋体" w:hAnsi="宋体" w:cs="宋体"/>
                <w:color w:val="auto"/>
                <w:w w:val="90"/>
                <w:szCs w:val="21"/>
                <w:highlight w:val="none"/>
              </w:rPr>
            </w:pPr>
          </w:p>
        </w:tc>
        <w:tc>
          <w:tcPr>
            <w:tcW w:w="3390"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HJ2547家具/HJ2540木塑制品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cs="宋体"/>
                <w:color w:val="auto"/>
                <w:w w:val="90"/>
                <w:szCs w:val="21"/>
                <w:highlight w:val="none"/>
              </w:rPr>
            </w:pPr>
            <w:r>
              <w:rPr>
                <w:rFonts w:hint="eastAsia" w:ascii="宋体" w:hAnsi="宋体" w:cs="宋体"/>
                <w:color w:val="auto"/>
                <w:w w:val="90"/>
                <w:szCs w:val="21"/>
                <w:highlight w:val="none"/>
              </w:rPr>
              <w:t>29</w:t>
            </w:r>
          </w:p>
        </w:tc>
        <w:tc>
          <w:tcPr>
            <w:tcW w:w="1985"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A070101棉、化纤纺织及印染原料</w:t>
            </w:r>
          </w:p>
        </w:tc>
        <w:tc>
          <w:tcPr>
            <w:tcW w:w="2268" w:type="dxa"/>
            <w:vAlign w:val="center"/>
          </w:tcPr>
          <w:p>
            <w:pPr>
              <w:rPr>
                <w:rFonts w:ascii="宋体" w:hAnsi="宋体" w:cs="宋体"/>
                <w:color w:val="auto"/>
                <w:w w:val="90"/>
                <w:szCs w:val="21"/>
                <w:highlight w:val="none"/>
              </w:rPr>
            </w:pPr>
          </w:p>
        </w:tc>
        <w:tc>
          <w:tcPr>
            <w:tcW w:w="1855" w:type="dxa"/>
            <w:vAlign w:val="center"/>
          </w:tcPr>
          <w:p>
            <w:pPr>
              <w:rPr>
                <w:rFonts w:ascii="宋体" w:hAnsi="宋体" w:cs="宋体"/>
                <w:color w:val="auto"/>
                <w:w w:val="90"/>
                <w:szCs w:val="21"/>
                <w:highlight w:val="none"/>
              </w:rPr>
            </w:pPr>
          </w:p>
        </w:tc>
        <w:tc>
          <w:tcPr>
            <w:tcW w:w="3390"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HJ2546纺织产品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cs="宋体"/>
                <w:color w:val="auto"/>
                <w:w w:val="90"/>
                <w:szCs w:val="21"/>
                <w:highlight w:val="none"/>
              </w:rPr>
            </w:pPr>
            <w:r>
              <w:rPr>
                <w:rFonts w:hint="eastAsia" w:ascii="宋体" w:hAnsi="宋体" w:cs="宋体"/>
                <w:color w:val="auto"/>
                <w:w w:val="90"/>
                <w:szCs w:val="21"/>
                <w:highlight w:val="none"/>
              </w:rPr>
              <w:t>30</w:t>
            </w:r>
          </w:p>
        </w:tc>
        <w:tc>
          <w:tcPr>
            <w:tcW w:w="1985"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A090101复印纸（包括再生复印纸）</w:t>
            </w:r>
          </w:p>
        </w:tc>
        <w:tc>
          <w:tcPr>
            <w:tcW w:w="2268" w:type="dxa"/>
            <w:vAlign w:val="center"/>
          </w:tcPr>
          <w:p>
            <w:pPr>
              <w:rPr>
                <w:rFonts w:ascii="宋体" w:hAnsi="宋体" w:cs="宋体"/>
                <w:color w:val="auto"/>
                <w:w w:val="90"/>
                <w:szCs w:val="21"/>
                <w:highlight w:val="none"/>
              </w:rPr>
            </w:pPr>
          </w:p>
        </w:tc>
        <w:tc>
          <w:tcPr>
            <w:tcW w:w="1855" w:type="dxa"/>
            <w:vAlign w:val="center"/>
          </w:tcPr>
          <w:p>
            <w:pPr>
              <w:rPr>
                <w:rFonts w:ascii="宋体" w:hAnsi="宋体" w:cs="宋体"/>
                <w:color w:val="auto"/>
                <w:w w:val="90"/>
                <w:szCs w:val="21"/>
                <w:highlight w:val="none"/>
              </w:rPr>
            </w:pPr>
          </w:p>
        </w:tc>
        <w:tc>
          <w:tcPr>
            <w:tcW w:w="3390"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HJ410文化用纸</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cs="宋体"/>
                <w:color w:val="auto"/>
                <w:w w:val="90"/>
                <w:szCs w:val="21"/>
                <w:highlight w:val="none"/>
              </w:rPr>
            </w:pPr>
            <w:r>
              <w:rPr>
                <w:rFonts w:hint="eastAsia" w:ascii="宋体" w:hAnsi="宋体" w:cs="宋体"/>
                <w:color w:val="auto"/>
                <w:w w:val="90"/>
                <w:szCs w:val="21"/>
                <w:highlight w:val="none"/>
              </w:rPr>
              <w:t>31</w:t>
            </w:r>
          </w:p>
        </w:tc>
        <w:tc>
          <w:tcPr>
            <w:tcW w:w="1985"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A090201鼓粉盒（包括再生鼓粉盒）</w:t>
            </w:r>
          </w:p>
        </w:tc>
        <w:tc>
          <w:tcPr>
            <w:tcW w:w="2268" w:type="dxa"/>
            <w:vAlign w:val="center"/>
          </w:tcPr>
          <w:p>
            <w:pPr>
              <w:rPr>
                <w:rFonts w:ascii="宋体" w:hAnsi="宋体" w:cs="宋体"/>
                <w:color w:val="auto"/>
                <w:w w:val="90"/>
                <w:szCs w:val="21"/>
                <w:highlight w:val="none"/>
              </w:rPr>
            </w:pPr>
          </w:p>
        </w:tc>
        <w:tc>
          <w:tcPr>
            <w:tcW w:w="1855" w:type="dxa"/>
            <w:vAlign w:val="center"/>
          </w:tcPr>
          <w:p>
            <w:pPr>
              <w:rPr>
                <w:rFonts w:ascii="宋体" w:hAnsi="宋体" w:cs="宋体"/>
                <w:color w:val="auto"/>
                <w:w w:val="90"/>
                <w:szCs w:val="21"/>
                <w:highlight w:val="none"/>
              </w:rPr>
            </w:pPr>
          </w:p>
        </w:tc>
        <w:tc>
          <w:tcPr>
            <w:tcW w:w="3390" w:type="dxa"/>
            <w:vAlign w:val="center"/>
          </w:tcPr>
          <w:p>
            <w:pPr>
              <w:rPr>
                <w:rFonts w:ascii="宋体" w:hAnsi="宋体" w:cs="宋体"/>
                <w:color w:val="auto"/>
                <w:w w:val="90"/>
                <w:szCs w:val="21"/>
                <w:highlight w:val="none"/>
              </w:rPr>
            </w:pP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restart"/>
            <w:vAlign w:val="center"/>
          </w:tcPr>
          <w:p>
            <w:pPr>
              <w:jc w:val="center"/>
              <w:rPr>
                <w:rFonts w:ascii="宋体" w:hAnsi="宋体" w:cs="宋体"/>
                <w:color w:val="auto"/>
                <w:w w:val="90"/>
                <w:szCs w:val="21"/>
                <w:highlight w:val="none"/>
              </w:rPr>
            </w:pPr>
            <w:r>
              <w:rPr>
                <w:rFonts w:hint="eastAsia" w:ascii="宋体" w:hAnsi="宋体" w:cs="宋体"/>
                <w:color w:val="auto"/>
                <w:w w:val="90"/>
                <w:szCs w:val="21"/>
                <w:highlight w:val="none"/>
              </w:rPr>
              <w:t>32</w:t>
            </w:r>
          </w:p>
        </w:tc>
        <w:tc>
          <w:tcPr>
            <w:tcW w:w="1985" w:type="dxa"/>
            <w:vMerge w:val="restart"/>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A100203人造板</w:t>
            </w:r>
          </w:p>
        </w:tc>
        <w:tc>
          <w:tcPr>
            <w:tcW w:w="2268"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A10020301胶合板</w:t>
            </w:r>
          </w:p>
        </w:tc>
        <w:tc>
          <w:tcPr>
            <w:tcW w:w="1855" w:type="dxa"/>
            <w:vAlign w:val="center"/>
          </w:tcPr>
          <w:p>
            <w:pPr>
              <w:rPr>
                <w:rFonts w:ascii="宋体" w:hAnsi="宋体" w:cs="宋体"/>
                <w:color w:val="auto"/>
                <w:w w:val="90"/>
                <w:szCs w:val="21"/>
                <w:highlight w:val="none"/>
              </w:rPr>
            </w:pPr>
          </w:p>
        </w:tc>
        <w:tc>
          <w:tcPr>
            <w:tcW w:w="3390"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HJ571人造板及其制品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continue"/>
            <w:vAlign w:val="center"/>
          </w:tcPr>
          <w:p>
            <w:pPr>
              <w:jc w:val="center"/>
              <w:rPr>
                <w:rFonts w:ascii="宋体" w:hAnsi="宋体" w:cs="宋体"/>
                <w:color w:val="auto"/>
                <w:w w:val="90"/>
                <w:szCs w:val="21"/>
                <w:highlight w:val="none"/>
              </w:rPr>
            </w:pPr>
          </w:p>
        </w:tc>
        <w:tc>
          <w:tcPr>
            <w:tcW w:w="1985" w:type="dxa"/>
            <w:vMerge w:val="continue"/>
            <w:vAlign w:val="center"/>
          </w:tcPr>
          <w:p>
            <w:pPr>
              <w:rPr>
                <w:rFonts w:ascii="宋体" w:hAnsi="宋体" w:cs="宋体"/>
                <w:color w:val="auto"/>
                <w:w w:val="90"/>
                <w:szCs w:val="21"/>
                <w:highlight w:val="none"/>
              </w:rPr>
            </w:pPr>
          </w:p>
        </w:tc>
        <w:tc>
          <w:tcPr>
            <w:tcW w:w="2268"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A10020302纤维板</w:t>
            </w:r>
          </w:p>
        </w:tc>
        <w:tc>
          <w:tcPr>
            <w:tcW w:w="1855" w:type="dxa"/>
            <w:vAlign w:val="center"/>
          </w:tcPr>
          <w:p>
            <w:pPr>
              <w:rPr>
                <w:rFonts w:ascii="宋体" w:hAnsi="宋体" w:cs="宋体"/>
                <w:color w:val="auto"/>
                <w:w w:val="90"/>
                <w:szCs w:val="21"/>
                <w:highlight w:val="none"/>
              </w:rPr>
            </w:pPr>
          </w:p>
        </w:tc>
        <w:tc>
          <w:tcPr>
            <w:tcW w:w="3390"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HJ571人造板及其制品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continue"/>
            <w:vAlign w:val="center"/>
          </w:tcPr>
          <w:p>
            <w:pPr>
              <w:jc w:val="center"/>
              <w:rPr>
                <w:rFonts w:ascii="宋体" w:hAnsi="宋体" w:cs="宋体"/>
                <w:color w:val="auto"/>
                <w:w w:val="90"/>
                <w:szCs w:val="21"/>
                <w:highlight w:val="none"/>
              </w:rPr>
            </w:pPr>
          </w:p>
        </w:tc>
        <w:tc>
          <w:tcPr>
            <w:tcW w:w="1985" w:type="dxa"/>
            <w:vMerge w:val="continue"/>
            <w:vAlign w:val="center"/>
          </w:tcPr>
          <w:p>
            <w:pPr>
              <w:rPr>
                <w:rFonts w:ascii="宋体" w:hAnsi="宋体" w:cs="宋体"/>
                <w:color w:val="auto"/>
                <w:w w:val="90"/>
                <w:szCs w:val="21"/>
                <w:highlight w:val="none"/>
              </w:rPr>
            </w:pPr>
          </w:p>
        </w:tc>
        <w:tc>
          <w:tcPr>
            <w:tcW w:w="2268"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A10020303刨花板</w:t>
            </w:r>
          </w:p>
        </w:tc>
        <w:tc>
          <w:tcPr>
            <w:tcW w:w="1855" w:type="dxa"/>
            <w:vAlign w:val="center"/>
          </w:tcPr>
          <w:p>
            <w:pPr>
              <w:rPr>
                <w:rFonts w:ascii="宋体" w:hAnsi="宋体" w:cs="宋体"/>
                <w:color w:val="auto"/>
                <w:w w:val="90"/>
                <w:szCs w:val="21"/>
                <w:highlight w:val="none"/>
              </w:rPr>
            </w:pPr>
          </w:p>
        </w:tc>
        <w:tc>
          <w:tcPr>
            <w:tcW w:w="3390"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HJ571人造板及其制品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continue"/>
            <w:vAlign w:val="center"/>
          </w:tcPr>
          <w:p>
            <w:pPr>
              <w:jc w:val="center"/>
              <w:rPr>
                <w:rFonts w:ascii="宋体" w:hAnsi="宋体" w:cs="宋体"/>
                <w:color w:val="auto"/>
                <w:w w:val="90"/>
                <w:szCs w:val="21"/>
                <w:highlight w:val="none"/>
              </w:rPr>
            </w:pPr>
          </w:p>
        </w:tc>
        <w:tc>
          <w:tcPr>
            <w:tcW w:w="1985" w:type="dxa"/>
            <w:vMerge w:val="continue"/>
            <w:vAlign w:val="center"/>
          </w:tcPr>
          <w:p>
            <w:pPr>
              <w:rPr>
                <w:rFonts w:ascii="宋体" w:hAnsi="宋体" w:cs="宋体"/>
                <w:color w:val="auto"/>
                <w:w w:val="90"/>
                <w:szCs w:val="21"/>
                <w:highlight w:val="none"/>
              </w:rPr>
            </w:pPr>
          </w:p>
        </w:tc>
        <w:tc>
          <w:tcPr>
            <w:tcW w:w="2268"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A10020304细木工板</w:t>
            </w:r>
          </w:p>
        </w:tc>
        <w:tc>
          <w:tcPr>
            <w:tcW w:w="1855" w:type="dxa"/>
            <w:vAlign w:val="center"/>
          </w:tcPr>
          <w:p>
            <w:pPr>
              <w:rPr>
                <w:rFonts w:ascii="宋体" w:hAnsi="宋体" w:cs="宋体"/>
                <w:color w:val="auto"/>
                <w:w w:val="90"/>
                <w:szCs w:val="21"/>
                <w:highlight w:val="none"/>
              </w:rPr>
            </w:pPr>
          </w:p>
        </w:tc>
        <w:tc>
          <w:tcPr>
            <w:tcW w:w="3390"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HJ571人造板及其制品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continue"/>
            <w:vAlign w:val="center"/>
          </w:tcPr>
          <w:p>
            <w:pPr>
              <w:jc w:val="center"/>
              <w:rPr>
                <w:rFonts w:ascii="宋体" w:hAnsi="宋体" w:cs="宋体"/>
                <w:color w:val="auto"/>
                <w:w w:val="90"/>
                <w:szCs w:val="21"/>
                <w:highlight w:val="none"/>
              </w:rPr>
            </w:pPr>
          </w:p>
        </w:tc>
        <w:tc>
          <w:tcPr>
            <w:tcW w:w="1985" w:type="dxa"/>
            <w:vMerge w:val="continue"/>
            <w:vAlign w:val="center"/>
          </w:tcPr>
          <w:p>
            <w:pPr>
              <w:rPr>
                <w:rFonts w:ascii="宋体" w:hAnsi="宋体" w:cs="宋体"/>
                <w:color w:val="auto"/>
                <w:w w:val="90"/>
                <w:szCs w:val="21"/>
                <w:highlight w:val="none"/>
              </w:rPr>
            </w:pPr>
          </w:p>
        </w:tc>
        <w:tc>
          <w:tcPr>
            <w:tcW w:w="2268"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A10020399其他人造板</w:t>
            </w:r>
          </w:p>
        </w:tc>
        <w:tc>
          <w:tcPr>
            <w:tcW w:w="1855" w:type="dxa"/>
            <w:vAlign w:val="center"/>
          </w:tcPr>
          <w:p>
            <w:pPr>
              <w:rPr>
                <w:rFonts w:ascii="宋体" w:hAnsi="宋体" w:cs="宋体"/>
                <w:color w:val="auto"/>
                <w:w w:val="90"/>
                <w:szCs w:val="21"/>
                <w:highlight w:val="none"/>
              </w:rPr>
            </w:pPr>
          </w:p>
        </w:tc>
        <w:tc>
          <w:tcPr>
            <w:tcW w:w="3390"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HJ571人造板及其制品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restart"/>
            <w:vAlign w:val="center"/>
          </w:tcPr>
          <w:p>
            <w:pPr>
              <w:jc w:val="center"/>
              <w:rPr>
                <w:rFonts w:ascii="宋体" w:hAnsi="宋体" w:cs="宋体"/>
                <w:color w:val="auto"/>
                <w:w w:val="90"/>
                <w:szCs w:val="21"/>
                <w:highlight w:val="none"/>
              </w:rPr>
            </w:pPr>
            <w:r>
              <w:rPr>
                <w:rFonts w:hint="eastAsia" w:ascii="宋体" w:hAnsi="宋体" w:cs="宋体"/>
                <w:color w:val="auto"/>
                <w:w w:val="90"/>
                <w:szCs w:val="21"/>
                <w:highlight w:val="none"/>
              </w:rPr>
              <w:t>33</w:t>
            </w:r>
          </w:p>
        </w:tc>
        <w:tc>
          <w:tcPr>
            <w:tcW w:w="1985" w:type="dxa"/>
            <w:vMerge w:val="restart"/>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A100204352二次加工材，相关板材</w:t>
            </w:r>
          </w:p>
        </w:tc>
        <w:tc>
          <w:tcPr>
            <w:tcW w:w="2268"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A10020435204人造板表面装饰板</w:t>
            </w:r>
          </w:p>
        </w:tc>
        <w:tc>
          <w:tcPr>
            <w:tcW w:w="1855" w:type="dxa"/>
            <w:vAlign w:val="center"/>
          </w:tcPr>
          <w:p>
            <w:pPr>
              <w:rPr>
                <w:rFonts w:ascii="宋体" w:hAnsi="宋体" w:cs="宋体"/>
                <w:color w:val="auto"/>
                <w:w w:val="90"/>
                <w:szCs w:val="21"/>
                <w:highlight w:val="none"/>
              </w:rPr>
            </w:pPr>
          </w:p>
        </w:tc>
        <w:tc>
          <w:tcPr>
            <w:tcW w:w="3390"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HJ571人造板及其制品/HJ2540木塑制品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continue"/>
            <w:vAlign w:val="center"/>
          </w:tcPr>
          <w:p>
            <w:pPr>
              <w:jc w:val="center"/>
              <w:rPr>
                <w:rFonts w:ascii="宋体" w:hAnsi="宋体" w:cs="宋体"/>
                <w:color w:val="auto"/>
                <w:w w:val="90"/>
                <w:szCs w:val="21"/>
                <w:highlight w:val="none"/>
              </w:rPr>
            </w:pPr>
          </w:p>
        </w:tc>
        <w:tc>
          <w:tcPr>
            <w:tcW w:w="1985" w:type="dxa"/>
            <w:vMerge w:val="continue"/>
            <w:vAlign w:val="center"/>
          </w:tcPr>
          <w:p>
            <w:pPr>
              <w:rPr>
                <w:rFonts w:ascii="宋体" w:hAnsi="宋体" w:cs="宋体"/>
                <w:color w:val="auto"/>
                <w:w w:val="90"/>
                <w:szCs w:val="21"/>
                <w:highlight w:val="none"/>
              </w:rPr>
            </w:pPr>
          </w:p>
        </w:tc>
        <w:tc>
          <w:tcPr>
            <w:tcW w:w="2268"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A10020435204人造板表面装饰板（地板）</w:t>
            </w:r>
          </w:p>
        </w:tc>
        <w:tc>
          <w:tcPr>
            <w:tcW w:w="1855" w:type="dxa"/>
            <w:vAlign w:val="center"/>
          </w:tcPr>
          <w:p>
            <w:pPr>
              <w:rPr>
                <w:rFonts w:ascii="宋体" w:hAnsi="宋体" w:cs="宋体"/>
                <w:color w:val="auto"/>
                <w:w w:val="90"/>
                <w:szCs w:val="21"/>
                <w:highlight w:val="none"/>
              </w:rPr>
            </w:pPr>
          </w:p>
        </w:tc>
        <w:tc>
          <w:tcPr>
            <w:tcW w:w="3390"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HJ571人造板及其制品/HJ2540木塑制品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cs="宋体"/>
                <w:color w:val="auto"/>
                <w:w w:val="90"/>
                <w:szCs w:val="21"/>
                <w:highlight w:val="none"/>
              </w:rPr>
            </w:pPr>
            <w:r>
              <w:rPr>
                <w:rFonts w:hint="eastAsia" w:ascii="宋体" w:hAnsi="宋体" w:cs="宋体"/>
                <w:color w:val="auto"/>
                <w:w w:val="90"/>
                <w:szCs w:val="21"/>
                <w:highlight w:val="none"/>
              </w:rPr>
              <w:t>34</w:t>
            </w:r>
          </w:p>
        </w:tc>
        <w:tc>
          <w:tcPr>
            <w:tcW w:w="1985"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A100301水泥熟料及水泥</w:t>
            </w:r>
          </w:p>
        </w:tc>
        <w:tc>
          <w:tcPr>
            <w:tcW w:w="2268"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A10030102水泥</w:t>
            </w:r>
          </w:p>
        </w:tc>
        <w:tc>
          <w:tcPr>
            <w:tcW w:w="1855" w:type="dxa"/>
            <w:vAlign w:val="center"/>
          </w:tcPr>
          <w:p>
            <w:pPr>
              <w:rPr>
                <w:rFonts w:ascii="宋体" w:hAnsi="宋体" w:cs="宋体"/>
                <w:color w:val="auto"/>
                <w:w w:val="90"/>
                <w:szCs w:val="21"/>
                <w:highlight w:val="none"/>
              </w:rPr>
            </w:pPr>
          </w:p>
        </w:tc>
        <w:tc>
          <w:tcPr>
            <w:tcW w:w="3390"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HJ2519水泥</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cs="宋体"/>
                <w:color w:val="auto"/>
                <w:w w:val="90"/>
                <w:szCs w:val="21"/>
                <w:highlight w:val="none"/>
              </w:rPr>
            </w:pPr>
            <w:r>
              <w:rPr>
                <w:rFonts w:hint="eastAsia" w:ascii="宋体" w:hAnsi="宋体" w:cs="宋体"/>
                <w:color w:val="auto"/>
                <w:w w:val="90"/>
                <w:szCs w:val="21"/>
                <w:highlight w:val="none"/>
              </w:rPr>
              <w:t>35</w:t>
            </w:r>
          </w:p>
        </w:tc>
        <w:tc>
          <w:tcPr>
            <w:tcW w:w="1985"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A100303水泥混凝土制品</w:t>
            </w:r>
          </w:p>
        </w:tc>
        <w:tc>
          <w:tcPr>
            <w:tcW w:w="2268"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A10030301商品混凝土</w:t>
            </w:r>
          </w:p>
        </w:tc>
        <w:tc>
          <w:tcPr>
            <w:tcW w:w="1855" w:type="dxa"/>
            <w:vAlign w:val="center"/>
          </w:tcPr>
          <w:p>
            <w:pPr>
              <w:rPr>
                <w:rFonts w:ascii="宋体" w:hAnsi="宋体" w:cs="宋体"/>
                <w:color w:val="auto"/>
                <w:w w:val="90"/>
                <w:szCs w:val="21"/>
                <w:highlight w:val="none"/>
              </w:rPr>
            </w:pPr>
          </w:p>
        </w:tc>
        <w:tc>
          <w:tcPr>
            <w:tcW w:w="3390"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HJ/T412预拌混凝土</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restart"/>
            <w:vAlign w:val="center"/>
          </w:tcPr>
          <w:p>
            <w:pPr>
              <w:jc w:val="center"/>
              <w:rPr>
                <w:rFonts w:ascii="宋体" w:hAnsi="宋体" w:cs="宋体"/>
                <w:color w:val="auto"/>
                <w:w w:val="90"/>
                <w:szCs w:val="21"/>
                <w:highlight w:val="none"/>
              </w:rPr>
            </w:pPr>
            <w:r>
              <w:rPr>
                <w:rFonts w:hint="eastAsia" w:ascii="宋体" w:hAnsi="宋体" w:cs="宋体"/>
                <w:color w:val="auto"/>
                <w:w w:val="90"/>
                <w:szCs w:val="21"/>
                <w:highlight w:val="none"/>
              </w:rPr>
              <w:t>36</w:t>
            </w:r>
          </w:p>
        </w:tc>
        <w:tc>
          <w:tcPr>
            <w:tcW w:w="1985" w:type="dxa"/>
            <w:vMerge w:val="restart"/>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A100304纤维增强水泥制品</w:t>
            </w:r>
          </w:p>
        </w:tc>
        <w:tc>
          <w:tcPr>
            <w:tcW w:w="2268"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A10030402纤维增强硅酸钙板</w:t>
            </w:r>
          </w:p>
        </w:tc>
        <w:tc>
          <w:tcPr>
            <w:tcW w:w="1855" w:type="dxa"/>
            <w:vAlign w:val="center"/>
          </w:tcPr>
          <w:p>
            <w:pPr>
              <w:rPr>
                <w:rFonts w:ascii="宋体" w:hAnsi="宋体" w:cs="宋体"/>
                <w:color w:val="auto"/>
                <w:w w:val="90"/>
                <w:szCs w:val="21"/>
                <w:highlight w:val="none"/>
              </w:rPr>
            </w:pPr>
          </w:p>
        </w:tc>
        <w:tc>
          <w:tcPr>
            <w:tcW w:w="3390"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HJ/T223轻质墙体板材</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continue"/>
            <w:vAlign w:val="center"/>
          </w:tcPr>
          <w:p>
            <w:pPr>
              <w:jc w:val="center"/>
              <w:rPr>
                <w:rFonts w:ascii="宋体" w:hAnsi="宋体" w:cs="宋体"/>
                <w:color w:val="auto"/>
                <w:w w:val="90"/>
                <w:szCs w:val="21"/>
                <w:highlight w:val="none"/>
              </w:rPr>
            </w:pPr>
          </w:p>
        </w:tc>
        <w:tc>
          <w:tcPr>
            <w:tcW w:w="1985" w:type="dxa"/>
            <w:vMerge w:val="continue"/>
            <w:vAlign w:val="center"/>
          </w:tcPr>
          <w:p>
            <w:pPr>
              <w:rPr>
                <w:rFonts w:ascii="宋体" w:hAnsi="宋体" w:cs="宋体"/>
                <w:color w:val="auto"/>
                <w:w w:val="90"/>
                <w:szCs w:val="21"/>
                <w:highlight w:val="none"/>
              </w:rPr>
            </w:pPr>
          </w:p>
        </w:tc>
        <w:tc>
          <w:tcPr>
            <w:tcW w:w="2268"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A10030403无石棉纤维水泥制品</w:t>
            </w:r>
          </w:p>
        </w:tc>
        <w:tc>
          <w:tcPr>
            <w:tcW w:w="1855" w:type="dxa"/>
            <w:vAlign w:val="center"/>
          </w:tcPr>
          <w:p>
            <w:pPr>
              <w:rPr>
                <w:rFonts w:ascii="宋体" w:hAnsi="宋体" w:cs="宋体"/>
                <w:color w:val="auto"/>
                <w:w w:val="90"/>
                <w:szCs w:val="21"/>
                <w:highlight w:val="none"/>
              </w:rPr>
            </w:pPr>
          </w:p>
        </w:tc>
        <w:tc>
          <w:tcPr>
            <w:tcW w:w="3390"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HJ/T223轻质墙体板材</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restart"/>
            <w:vAlign w:val="center"/>
          </w:tcPr>
          <w:p>
            <w:pPr>
              <w:jc w:val="center"/>
              <w:rPr>
                <w:rFonts w:ascii="宋体" w:hAnsi="宋体" w:cs="宋体"/>
                <w:color w:val="auto"/>
                <w:w w:val="90"/>
                <w:szCs w:val="21"/>
                <w:highlight w:val="none"/>
              </w:rPr>
            </w:pPr>
            <w:r>
              <w:rPr>
                <w:rFonts w:hint="eastAsia" w:ascii="宋体" w:hAnsi="宋体" w:cs="宋体"/>
                <w:color w:val="auto"/>
                <w:w w:val="90"/>
                <w:szCs w:val="21"/>
                <w:highlight w:val="none"/>
              </w:rPr>
              <w:t>37</w:t>
            </w:r>
          </w:p>
        </w:tc>
        <w:tc>
          <w:tcPr>
            <w:tcW w:w="1985" w:type="dxa"/>
            <w:vMerge w:val="restart"/>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A100305轻质建筑材料及制品</w:t>
            </w:r>
          </w:p>
        </w:tc>
        <w:tc>
          <w:tcPr>
            <w:tcW w:w="2268"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A10030501石膏板</w:t>
            </w:r>
          </w:p>
        </w:tc>
        <w:tc>
          <w:tcPr>
            <w:tcW w:w="1855" w:type="dxa"/>
            <w:vAlign w:val="center"/>
          </w:tcPr>
          <w:p>
            <w:pPr>
              <w:rPr>
                <w:rFonts w:ascii="宋体" w:hAnsi="宋体" w:cs="宋体"/>
                <w:color w:val="auto"/>
                <w:w w:val="90"/>
                <w:szCs w:val="21"/>
                <w:highlight w:val="none"/>
              </w:rPr>
            </w:pPr>
          </w:p>
        </w:tc>
        <w:tc>
          <w:tcPr>
            <w:tcW w:w="3390"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HJ/T223轻质墙体板材</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continue"/>
            <w:vAlign w:val="center"/>
          </w:tcPr>
          <w:p>
            <w:pPr>
              <w:jc w:val="center"/>
              <w:rPr>
                <w:rFonts w:ascii="宋体" w:hAnsi="宋体" w:cs="宋体"/>
                <w:color w:val="auto"/>
                <w:w w:val="90"/>
                <w:szCs w:val="21"/>
                <w:highlight w:val="none"/>
              </w:rPr>
            </w:pPr>
          </w:p>
        </w:tc>
        <w:tc>
          <w:tcPr>
            <w:tcW w:w="1985" w:type="dxa"/>
            <w:vMerge w:val="continue"/>
            <w:vAlign w:val="center"/>
          </w:tcPr>
          <w:p>
            <w:pPr>
              <w:rPr>
                <w:rFonts w:ascii="宋体" w:hAnsi="宋体" w:cs="宋体"/>
                <w:color w:val="auto"/>
                <w:w w:val="90"/>
                <w:szCs w:val="21"/>
                <w:highlight w:val="none"/>
              </w:rPr>
            </w:pPr>
          </w:p>
        </w:tc>
        <w:tc>
          <w:tcPr>
            <w:tcW w:w="2268"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A10030503轻质隔墙条板</w:t>
            </w:r>
          </w:p>
        </w:tc>
        <w:tc>
          <w:tcPr>
            <w:tcW w:w="1855" w:type="dxa"/>
            <w:vAlign w:val="center"/>
          </w:tcPr>
          <w:p>
            <w:pPr>
              <w:rPr>
                <w:rFonts w:ascii="宋体" w:hAnsi="宋体" w:cs="宋体"/>
                <w:color w:val="auto"/>
                <w:w w:val="90"/>
                <w:szCs w:val="21"/>
                <w:highlight w:val="none"/>
              </w:rPr>
            </w:pPr>
          </w:p>
        </w:tc>
        <w:tc>
          <w:tcPr>
            <w:tcW w:w="3390"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HJ/T223轻质墙体板材</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restart"/>
            <w:vAlign w:val="center"/>
          </w:tcPr>
          <w:p>
            <w:pPr>
              <w:jc w:val="center"/>
              <w:rPr>
                <w:rFonts w:ascii="宋体" w:hAnsi="宋体" w:cs="宋体"/>
                <w:color w:val="auto"/>
                <w:w w:val="90"/>
                <w:szCs w:val="21"/>
                <w:highlight w:val="none"/>
              </w:rPr>
            </w:pPr>
            <w:r>
              <w:rPr>
                <w:rFonts w:hint="eastAsia" w:ascii="宋体" w:hAnsi="宋体" w:cs="宋体"/>
                <w:color w:val="auto"/>
                <w:w w:val="90"/>
                <w:szCs w:val="21"/>
                <w:highlight w:val="none"/>
              </w:rPr>
              <w:t>38</w:t>
            </w:r>
          </w:p>
        </w:tc>
        <w:tc>
          <w:tcPr>
            <w:tcW w:w="1985" w:type="dxa"/>
            <w:vMerge w:val="restart"/>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A100307建筑陶瓷制品</w:t>
            </w:r>
          </w:p>
        </w:tc>
        <w:tc>
          <w:tcPr>
            <w:tcW w:w="2268"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A10030701瓷质砖</w:t>
            </w:r>
          </w:p>
        </w:tc>
        <w:tc>
          <w:tcPr>
            <w:tcW w:w="1855" w:type="dxa"/>
            <w:vAlign w:val="center"/>
          </w:tcPr>
          <w:p>
            <w:pPr>
              <w:rPr>
                <w:rFonts w:ascii="宋体" w:hAnsi="宋体" w:cs="宋体"/>
                <w:color w:val="auto"/>
                <w:w w:val="90"/>
                <w:szCs w:val="21"/>
                <w:highlight w:val="none"/>
              </w:rPr>
            </w:pPr>
          </w:p>
        </w:tc>
        <w:tc>
          <w:tcPr>
            <w:tcW w:w="3390"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HJ/T297陶瓷砖</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continue"/>
            <w:vAlign w:val="center"/>
          </w:tcPr>
          <w:p>
            <w:pPr>
              <w:jc w:val="center"/>
              <w:rPr>
                <w:rFonts w:ascii="宋体" w:hAnsi="宋体" w:cs="宋体"/>
                <w:color w:val="auto"/>
                <w:w w:val="90"/>
                <w:szCs w:val="21"/>
                <w:highlight w:val="none"/>
              </w:rPr>
            </w:pPr>
          </w:p>
        </w:tc>
        <w:tc>
          <w:tcPr>
            <w:tcW w:w="1985" w:type="dxa"/>
            <w:vMerge w:val="continue"/>
            <w:vAlign w:val="center"/>
          </w:tcPr>
          <w:p>
            <w:pPr>
              <w:rPr>
                <w:rFonts w:ascii="宋体" w:hAnsi="宋体" w:cs="宋体"/>
                <w:color w:val="auto"/>
                <w:w w:val="90"/>
                <w:szCs w:val="21"/>
                <w:highlight w:val="none"/>
              </w:rPr>
            </w:pPr>
          </w:p>
        </w:tc>
        <w:tc>
          <w:tcPr>
            <w:tcW w:w="2268"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A10030704炻质砖</w:t>
            </w:r>
          </w:p>
        </w:tc>
        <w:tc>
          <w:tcPr>
            <w:tcW w:w="1855" w:type="dxa"/>
            <w:vAlign w:val="center"/>
          </w:tcPr>
          <w:p>
            <w:pPr>
              <w:rPr>
                <w:rFonts w:ascii="宋体" w:hAnsi="宋体" w:cs="宋体"/>
                <w:color w:val="auto"/>
                <w:w w:val="90"/>
                <w:szCs w:val="21"/>
                <w:highlight w:val="none"/>
              </w:rPr>
            </w:pPr>
          </w:p>
        </w:tc>
        <w:tc>
          <w:tcPr>
            <w:tcW w:w="3390"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HJ/T297陶瓷砖</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continue"/>
            <w:vAlign w:val="center"/>
          </w:tcPr>
          <w:p>
            <w:pPr>
              <w:jc w:val="center"/>
              <w:rPr>
                <w:rFonts w:ascii="宋体" w:hAnsi="宋体" w:cs="宋体"/>
                <w:color w:val="auto"/>
                <w:w w:val="90"/>
                <w:szCs w:val="21"/>
                <w:highlight w:val="none"/>
              </w:rPr>
            </w:pPr>
          </w:p>
        </w:tc>
        <w:tc>
          <w:tcPr>
            <w:tcW w:w="1985" w:type="dxa"/>
            <w:vMerge w:val="continue"/>
            <w:vAlign w:val="center"/>
          </w:tcPr>
          <w:p>
            <w:pPr>
              <w:rPr>
                <w:rFonts w:ascii="宋体" w:hAnsi="宋体" w:cs="宋体"/>
                <w:color w:val="auto"/>
                <w:w w:val="90"/>
                <w:szCs w:val="21"/>
                <w:highlight w:val="none"/>
              </w:rPr>
            </w:pPr>
          </w:p>
        </w:tc>
        <w:tc>
          <w:tcPr>
            <w:tcW w:w="2268"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A10030705陶质砖</w:t>
            </w:r>
          </w:p>
        </w:tc>
        <w:tc>
          <w:tcPr>
            <w:tcW w:w="1855" w:type="dxa"/>
            <w:vAlign w:val="center"/>
          </w:tcPr>
          <w:p>
            <w:pPr>
              <w:rPr>
                <w:rFonts w:ascii="宋体" w:hAnsi="宋体" w:cs="宋体"/>
                <w:color w:val="auto"/>
                <w:w w:val="90"/>
                <w:szCs w:val="21"/>
                <w:highlight w:val="none"/>
              </w:rPr>
            </w:pPr>
          </w:p>
        </w:tc>
        <w:tc>
          <w:tcPr>
            <w:tcW w:w="3390"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HJ/T297陶瓷砖</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continue"/>
            <w:vAlign w:val="center"/>
          </w:tcPr>
          <w:p>
            <w:pPr>
              <w:jc w:val="center"/>
              <w:rPr>
                <w:rFonts w:ascii="宋体" w:hAnsi="宋体" w:cs="宋体"/>
                <w:color w:val="auto"/>
                <w:w w:val="90"/>
                <w:szCs w:val="21"/>
                <w:highlight w:val="none"/>
              </w:rPr>
            </w:pPr>
          </w:p>
        </w:tc>
        <w:tc>
          <w:tcPr>
            <w:tcW w:w="1985" w:type="dxa"/>
            <w:vMerge w:val="continue"/>
            <w:vAlign w:val="center"/>
          </w:tcPr>
          <w:p>
            <w:pPr>
              <w:rPr>
                <w:rFonts w:ascii="宋体" w:hAnsi="宋体" w:cs="宋体"/>
                <w:color w:val="auto"/>
                <w:w w:val="90"/>
                <w:szCs w:val="21"/>
                <w:highlight w:val="none"/>
              </w:rPr>
            </w:pPr>
          </w:p>
        </w:tc>
        <w:tc>
          <w:tcPr>
            <w:tcW w:w="2268"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A10030799其他建筑陶瓷制品</w:t>
            </w:r>
          </w:p>
        </w:tc>
        <w:tc>
          <w:tcPr>
            <w:tcW w:w="1855" w:type="dxa"/>
            <w:vAlign w:val="center"/>
          </w:tcPr>
          <w:p>
            <w:pPr>
              <w:rPr>
                <w:rFonts w:ascii="宋体" w:hAnsi="宋体" w:cs="宋体"/>
                <w:color w:val="auto"/>
                <w:w w:val="90"/>
                <w:szCs w:val="21"/>
                <w:highlight w:val="none"/>
              </w:rPr>
            </w:pPr>
          </w:p>
        </w:tc>
        <w:tc>
          <w:tcPr>
            <w:tcW w:w="3390"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HJ/T297陶瓷砖</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restart"/>
            <w:vAlign w:val="center"/>
          </w:tcPr>
          <w:p>
            <w:pPr>
              <w:jc w:val="center"/>
              <w:rPr>
                <w:rFonts w:ascii="宋体" w:hAnsi="宋体" w:cs="宋体"/>
                <w:color w:val="auto"/>
                <w:w w:val="90"/>
                <w:szCs w:val="21"/>
                <w:highlight w:val="none"/>
              </w:rPr>
            </w:pPr>
            <w:r>
              <w:rPr>
                <w:rFonts w:hint="eastAsia" w:ascii="宋体" w:hAnsi="宋体" w:cs="宋体"/>
                <w:color w:val="auto"/>
                <w:w w:val="90"/>
                <w:szCs w:val="21"/>
                <w:highlight w:val="none"/>
              </w:rPr>
              <w:t>39</w:t>
            </w:r>
          </w:p>
        </w:tc>
        <w:tc>
          <w:tcPr>
            <w:tcW w:w="1985" w:type="dxa"/>
            <w:vMerge w:val="restart"/>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A100309建筑防水卷材及制品</w:t>
            </w:r>
          </w:p>
        </w:tc>
        <w:tc>
          <w:tcPr>
            <w:tcW w:w="2268"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A10030901沥青和改性沥青防水卷材</w:t>
            </w:r>
          </w:p>
        </w:tc>
        <w:tc>
          <w:tcPr>
            <w:tcW w:w="1855" w:type="dxa"/>
            <w:vAlign w:val="center"/>
          </w:tcPr>
          <w:p>
            <w:pPr>
              <w:rPr>
                <w:rFonts w:ascii="宋体" w:hAnsi="宋体" w:cs="宋体"/>
                <w:color w:val="auto"/>
                <w:w w:val="90"/>
                <w:szCs w:val="21"/>
                <w:highlight w:val="none"/>
              </w:rPr>
            </w:pPr>
          </w:p>
        </w:tc>
        <w:tc>
          <w:tcPr>
            <w:tcW w:w="3390"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HJ455防水卷材</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continue"/>
            <w:vAlign w:val="center"/>
          </w:tcPr>
          <w:p>
            <w:pPr>
              <w:jc w:val="center"/>
              <w:rPr>
                <w:rFonts w:ascii="宋体" w:hAnsi="宋体" w:cs="宋体"/>
                <w:color w:val="auto"/>
                <w:w w:val="90"/>
                <w:szCs w:val="21"/>
                <w:highlight w:val="none"/>
              </w:rPr>
            </w:pPr>
          </w:p>
        </w:tc>
        <w:tc>
          <w:tcPr>
            <w:tcW w:w="1985" w:type="dxa"/>
            <w:vMerge w:val="continue"/>
            <w:vAlign w:val="center"/>
          </w:tcPr>
          <w:p>
            <w:pPr>
              <w:rPr>
                <w:rFonts w:ascii="宋体" w:hAnsi="宋体" w:cs="宋体"/>
                <w:color w:val="auto"/>
                <w:w w:val="90"/>
                <w:szCs w:val="21"/>
                <w:highlight w:val="none"/>
              </w:rPr>
            </w:pPr>
          </w:p>
        </w:tc>
        <w:tc>
          <w:tcPr>
            <w:tcW w:w="2268"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A10030903自粘防水卷材</w:t>
            </w:r>
          </w:p>
        </w:tc>
        <w:tc>
          <w:tcPr>
            <w:tcW w:w="1855" w:type="dxa"/>
            <w:vAlign w:val="center"/>
          </w:tcPr>
          <w:p>
            <w:pPr>
              <w:rPr>
                <w:rFonts w:ascii="宋体" w:hAnsi="宋体" w:cs="宋体"/>
                <w:color w:val="auto"/>
                <w:w w:val="90"/>
                <w:szCs w:val="21"/>
                <w:highlight w:val="none"/>
              </w:rPr>
            </w:pPr>
          </w:p>
        </w:tc>
        <w:tc>
          <w:tcPr>
            <w:tcW w:w="3390"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HJ455防水卷材</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continue"/>
            <w:vAlign w:val="center"/>
          </w:tcPr>
          <w:p>
            <w:pPr>
              <w:jc w:val="center"/>
              <w:rPr>
                <w:rFonts w:ascii="宋体" w:hAnsi="宋体" w:cs="宋体"/>
                <w:color w:val="auto"/>
                <w:w w:val="90"/>
                <w:szCs w:val="21"/>
                <w:highlight w:val="none"/>
              </w:rPr>
            </w:pPr>
          </w:p>
        </w:tc>
        <w:tc>
          <w:tcPr>
            <w:tcW w:w="1985" w:type="dxa"/>
            <w:vMerge w:val="continue"/>
            <w:vAlign w:val="center"/>
          </w:tcPr>
          <w:p>
            <w:pPr>
              <w:rPr>
                <w:rFonts w:ascii="宋体" w:hAnsi="宋体" w:cs="宋体"/>
                <w:color w:val="auto"/>
                <w:w w:val="90"/>
                <w:szCs w:val="21"/>
                <w:highlight w:val="none"/>
              </w:rPr>
            </w:pPr>
          </w:p>
        </w:tc>
        <w:tc>
          <w:tcPr>
            <w:tcW w:w="2268"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A10030906高分子防水卷（片）材</w:t>
            </w:r>
          </w:p>
        </w:tc>
        <w:tc>
          <w:tcPr>
            <w:tcW w:w="1855" w:type="dxa"/>
            <w:vAlign w:val="center"/>
          </w:tcPr>
          <w:p>
            <w:pPr>
              <w:rPr>
                <w:rFonts w:ascii="宋体" w:hAnsi="宋体" w:cs="宋体"/>
                <w:color w:val="auto"/>
                <w:w w:val="90"/>
                <w:szCs w:val="21"/>
                <w:highlight w:val="none"/>
              </w:rPr>
            </w:pPr>
          </w:p>
        </w:tc>
        <w:tc>
          <w:tcPr>
            <w:tcW w:w="3390"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HJ455防水卷材</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restart"/>
            <w:vAlign w:val="center"/>
          </w:tcPr>
          <w:p>
            <w:pPr>
              <w:jc w:val="center"/>
              <w:rPr>
                <w:rFonts w:ascii="宋体" w:hAnsi="宋体" w:cs="宋体"/>
                <w:color w:val="auto"/>
                <w:w w:val="90"/>
                <w:szCs w:val="21"/>
                <w:highlight w:val="none"/>
              </w:rPr>
            </w:pPr>
            <w:r>
              <w:rPr>
                <w:rFonts w:hint="eastAsia" w:ascii="宋体" w:hAnsi="宋体" w:cs="宋体"/>
                <w:color w:val="auto"/>
                <w:w w:val="90"/>
                <w:szCs w:val="21"/>
                <w:highlight w:val="none"/>
              </w:rPr>
              <w:t>40</w:t>
            </w:r>
          </w:p>
        </w:tc>
        <w:tc>
          <w:tcPr>
            <w:tcW w:w="1985" w:type="dxa"/>
            <w:vMerge w:val="restart"/>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A100310隔热、隔音人造矿物材料及其制品</w:t>
            </w:r>
          </w:p>
        </w:tc>
        <w:tc>
          <w:tcPr>
            <w:tcW w:w="2268"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A10031001矿物绝热和吸声材料</w:t>
            </w:r>
          </w:p>
        </w:tc>
        <w:tc>
          <w:tcPr>
            <w:tcW w:w="1855" w:type="dxa"/>
            <w:vAlign w:val="center"/>
          </w:tcPr>
          <w:p>
            <w:pPr>
              <w:rPr>
                <w:rFonts w:ascii="宋体" w:hAnsi="宋体" w:cs="宋体"/>
                <w:color w:val="auto"/>
                <w:w w:val="90"/>
                <w:szCs w:val="21"/>
                <w:highlight w:val="none"/>
              </w:rPr>
            </w:pPr>
          </w:p>
        </w:tc>
        <w:tc>
          <w:tcPr>
            <w:tcW w:w="3390"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HJ/T223轻质墙体板材</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continue"/>
            <w:vAlign w:val="center"/>
          </w:tcPr>
          <w:p>
            <w:pPr>
              <w:jc w:val="center"/>
              <w:rPr>
                <w:rFonts w:ascii="宋体" w:hAnsi="宋体" w:cs="宋体"/>
                <w:color w:val="auto"/>
                <w:w w:val="90"/>
                <w:szCs w:val="21"/>
                <w:highlight w:val="none"/>
              </w:rPr>
            </w:pPr>
          </w:p>
        </w:tc>
        <w:tc>
          <w:tcPr>
            <w:tcW w:w="1985" w:type="dxa"/>
            <w:vMerge w:val="continue"/>
            <w:vAlign w:val="center"/>
          </w:tcPr>
          <w:p>
            <w:pPr>
              <w:rPr>
                <w:rFonts w:ascii="宋体" w:hAnsi="宋体" w:cs="宋体"/>
                <w:color w:val="auto"/>
                <w:w w:val="90"/>
                <w:szCs w:val="21"/>
                <w:highlight w:val="none"/>
              </w:rPr>
            </w:pPr>
          </w:p>
        </w:tc>
        <w:tc>
          <w:tcPr>
            <w:tcW w:w="2268"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A10031002矿物材料制品</w:t>
            </w:r>
          </w:p>
        </w:tc>
        <w:tc>
          <w:tcPr>
            <w:tcW w:w="1855" w:type="dxa"/>
            <w:vAlign w:val="center"/>
          </w:tcPr>
          <w:p>
            <w:pPr>
              <w:rPr>
                <w:rFonts w:ascii="宋体" w:hAnsi="宋体" w:cs="宋体"/>
                <w:color w:val="auto"/>
                <w:w w:val="90"/>
                <w:szCs w:val="21"/>
                <w:highlight w:val="none"/>
              </w:rPr>
            </w:pPr>
          </w:p>
        </w:tc>
        <w:tc>
          <w:tcPr>
            <w:tcW w:w="3390"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HJ/T223轻质墙体板材</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cs="宋体"/>
                <w:color w:val="auto"/>
                <w:w w:val="90"/>
                <w:szCs w:val="21"/>
                <w:highlight w:val="none"/>
              </w:rPr>
            </w:pPr>
            <w:r>
              <w:rPr>
                <w:rFonts w:hint="eastAsia" w:ascii="宋体" w:hAnsi="宋体" w:cs="宋体"/>
                <w:color w:val="auto"/>
                <w:w w:val="90"/>
                <w:szCs w:val="21"/>
                <w:highlight w:val="none"/>
              </w:rPr>
              <w:t>41</w:t>
            </w:r>
          </w:p>
        </w:tc>
        <w:tc>
          <w:tcPr>
            <w:tcW w:w="1985"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A100601功能性建筑涂料</w:t>
            </w:r>
          </w:p>
        </w:tc>
        <w:tc>
          <w:tcPr>
            <w:tcW w:w="2268" w:type="dxa"/>
            <w:vAlign w:val="center"/>
          </w:tcPr>
          <w:p>
            <w:pPr>
              <w:rPr>
                <w:rFonts w:ascii="宋体" w:hAnsi="宋体" w:cs="宋体"/>
                <w:color w:val="auto"/>
                <w:w w:val="90"/>
                <w:szCs w:val="21"/>
                <w:highlight w:val="none"/>
              </w:rPr>
            </w:pPr>
          </w:p>
        </w:tc>
        <w:tc>
          <w:tcPr>
            <w:tcW w:w="1855" w:type="dxa"/>
            <w:vAlign w:val="center"/>
          </w:tcPr>
          <w:p>
            <w:pPr>
              <w:rPr>
                <w:rFonts w:ascii="宋体" w:hAnsi="宋体" w:cs="宋体"/>
                <w:color w:val="auto"/>
                <w:w w:val="90"/>
                <w:szCs w:val="21"/>
                <w:highlight w:val="none"/>
              </w:rPr>
            </w:pPr>
          </w:p>
        </w:tc>
        <w:tc>
          <w:tcPr>
            <w:tcW w:w="3390"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HJ2537水性涂料</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cs="宋体"/>
                <w:color w:val="auto"/>
                <w:w w:val="90"/>
                <w:szCs w:val="21"/>
                <w:highlight w:val="none"/>
              </w:rPr>
            </w:pPr>
            <w:r>
              <w:rPr>
                <w:rFonts w:hint="eastAsia" w:ascii="宋体" w:hAnsi="宋体" w:cs="宋体"/>
                <w:color w:val="auto"/>
                <w:w w:val="90"/>
                <w:szCs w:val="21"/>
                <w:highlight w:val="none"/>
              </w:rPr>
              <w:t>42</w:t>
            </w:r>
          </w:p>
        </w:tc>
        <w:tc>
          <w:tcPr>
            <w:tcW w:w="1985"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A100399其他非金属矿物制品</w:t>
            </w:r>
          </w:p>
        </w:tc>
        <w:tc>
          <w:tcPr>
            <w:tcW w:w="2268"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A10039901其他非金属建筑材料</w:t>
            </w:r>
          </w:p>
        </w:tc>
        <w:tc>
          <w:tcPr>
            <w:tcW w:w="1855" w:type="dxa"/>
            <w:vAlign w:val="center"/>
          </w:tcPr>
          <w:p>
            <w:pPr>
              <w:rPr>
                <w:rFonts w:ascii="宋体" w:hAnsi="宋体" w:cs="宋体"/>
                <w:color w:val="auto"/>
                <w:w w:val="90"/>
                <w:szCs w:val="21"/>
                <w:highlight w:val="none"/>
              </w:rPr>
            </w:pPr>
          </w:p>
        </w:tc>
        <w:tc>
          <w:tcPr>
            <w:tcW w:w="3390"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HJ456刚性防水材料</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restart"/>
            <w:vAlign w:val="center"/>
          </w:tcPr>
          <w:p>
            <w:pPr>
              <w:jc w:val="center"/>
              <w:rPr>
                <w:rFonts w:ascii="宋体" w:hAnsi="宋体" w:cs="宋体"/>
                <w:color w:val="auto"/>
                <w:w w:val="90"/>
                <w:szCs w:val="21"/>
                <w:highlight w:val="none"/>
              </w:rPr>
            </w:pPr>
            <w:r>
              <w:rPr>
                <w:rFonts w:hint="eastAsia" w:ascii="宋体" w:hAnsi="宋体" w:cs="宋体"/>
                <w:color w:val="auto"/>
                <w:w w:val="90"/>
                <w:szCs w:val="21"/>
                <w:highlight w:val="none"/>
              </w:rPr>
              <w:t>43</w:t>
            </w:r>
          </w:p>
        </w:tc>
        <w:tc>
          <w:tcPr>
            <w:tcW w:w="1985" w:type="dxa"/>
            <w:vMerge w:val="restart"/>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A100602墙面涂料</w:t>
            </w:r>
          </w:p>
        </w:tc>
        <w:tc>
          <w:tcPr>
            <w:tcW w:w="2268"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A10060202合成树脂乳液内墙涂料</w:t>
            </w:r>
          </w:p>
        </w:tc>
        <w:tc>
          <w:tcPr>
            <w:tcW w:w="1855" w:type="dxa"/>
            <w:vAlign w:val="center"/>
          </w:tcPr>
          <w:p>
            <w:pPr>
              <w:rPr>
                <w:rFonts w:ascii="宋体" w:hAnsi="宋体" w:cs="宋体"/>
                <w:color w:val="auto"/>
                <w:w w:val="90"/>
                <w:szCs w:val="21"/>
                <w:highlight w:val="none"/>
              </w:rPr>
            </w:pPr>
          </w:p>
        </w:tc>
        <w:tc>
          <w:tcPr>
            <w:tcW w:w="3390"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HJ2537水性涂料</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continue"/>
            <w:vAlign w:val="center"/>
          </w:tcPr>
          <w:p>
            <w:pPr>
              <w:jc w:val="center"/>
              <w:rPr>
                <w:rFonts w:ascii="宋体" w:hAnsi="宋体" w:cs="宋体"/>
                <w:color w:val="auto"/>
                <w:w w:val="90"/>
                <w:szCs w:val="21"/>
                <w:highlight w:val="none"/>
              </w:rPr>
            </w:pPr>
          </w:p>
        </w:tc>
        <w:tc>
          <w:tcPr>
            <w:tcW w:w="1985" w:type="dxa"/>
            <w:vMerge w:val="continue"/>
            <w:vAlign w:val="center"/>
          </w:tcPr>
          <w:p>
            <w:pPr>
              <w:rPr>
                <w:rFonts w:ascii="宋体" w:hAnsi="宋体" w:cs="宋体"/>
                <w:color w:val="auto"/>
                <w:w w:val="90"/>
                <w:szCs w:val="21"/>
                <w:highlight w:val="none"/>
              </w:rPr>
            </w:pPr>
          </w:p>
        </w:tc>
        <w:tc>
          <w:tcPr>
            <w:tcW w:w="2268"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A10060203合成树脂乳液外墙涂料</w:t>
            </w:r>
          </w:p>
        </w:tc>
        <w:tc>
          <w:tcPr>
            <w:tcW w:w="1855" w:type="dxa"/>
            <w:vAlign w:val="center"/>
          </w:tcPr>
          <w:p>
            <w:pPr>
              <w:rPr>
                <w:rFonts w:ascii="宋体" w:hAnsi="宋体" w:cs="宋体"/>
                <w:color w:val="auto"/>
                <w:w w:val="90"/>
                <w:szCs w:val="21"/>
                <w:highlight w:val="none"/>
              </w:rPr>
            </w:pPr>
          </w:p>
        </w:tc>
        <w:tc>
          <w:tcPr>
            <w:tcW w:w="3390"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HJ2537水性涂料</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Merge w:val="continue"/>
            <w:vAlign w:val="center"/>
          </w:tcPr>
          <w:p>
            <w:pPr>
              <w:jc w:val="center"/>
              <w:rPr>
                <w:rFonts w:ascii="宋体" w:hAnsi="宋体" w:cs="宋体"/>
                <w:color w:val="auto"/>
                <w:w w:val="90"/>
                <w:szCs w:val="21"/>
                <w:highlight w:val="none"/>
              </w:rPr>
            </w:pPr>
          </w:p>
        </w:tc>
        <w:tc>
          <w:tcPr>
            <w:tcW w:w="1985" w:type="dxa"/>
            <w:vMerge w:val="continue"/>
            <w:vAlign w:val="center"/>
          </w:tcPr>
          <w:p>
            <w:pPr>
              <w:rPr>
                <w:rFonts w:ascii="宋体" w:hAnsi="宋体" w:cs="宋体"/>
                <w:color w:val="auto"/>
                <w:w w:val="90"/>
                <w:szCs w:val="21"/>
                <w:highlight w:val="none"/>
              </w:rPr>
            </w:pPr>
          </w:p>
        </w:tc>
        <w:tc>
          <w:tcPr>
            <w:tcW w:w="2268"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A10060299其他墙面涂料</w:t>
            </w:r>
          </w:p>
        </w:tc>
        <w:tc>
          <w:tcPr>
            <w:tcW w:w="1855" w:type="dxa"/>
            <w:vAlign w:val="center"/>
          </w:tcPr>
          <w:p>
            <w:pPr>
              <w:rPr>
                <w:rFonts w:ascii="宋体" w:hAnsi="宋体" w:cs="宋体"/>
                <w:color w:val="auto"/>
                <w:w w:val="90"/>
                <w:szCs w:val="21"/>
                <w:highlight w:val="none"/>
              </w:rPr>
            </w:pPr>
          </w:p>
        </w:tc>
        <w:tc>
          <w:tcPr>
            <w:tcW w:w="3390"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HJ2537水性涂料</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cs="宋体"/>
                <w:color w:val="auto"/>
                <w:w w:val="90"/>
                <w:szCs w:val="21"/>
                <w:highlight w:val="none"/>
              </w:rPr>
            </w:pPr>
            <w:r>
              <w:rPr>
                <w:rFonts w:hint="eastAsia" w:ascii="宋体" w:hAnsi="宋体" w:cs="宋体"/>
                <w:color w:val="auto"/>
                <w:w w:val="90"/>
                <w:szCs w:val="21"/>
                <w:highlight w:val="none"/>
              </w:rPr>
              <w:t>44</w:t>
            </w:r>
          </w:p>
        </w:tc>
        <w:tc>
          <w:tcPr>
            <w:tcW w:w="1985"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A100604防水涂料</w:t>
            </w:r>
          </w:p>
        </w:tc>
        <w:tc>
          <w:tcPr>
            <w:tcW w:w="2268"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A10060499其他防水涂料</w:t>
            </w:r>
          </w:p>
        </w:tc>
        <w:tc>
          <w:tcPr>
            <w:tcW w:w="1855" w:type="dxa"/>
            <w:vAlign w:val="center"/>
          </w:tcPr>
          <w:p>
            <w:pPr>
              <w:rPr>
                <w:rFonts w:ascii="宋体" w:hAnsi="宋体" w:cs="宋体"/>
                <w:color w:val="auto"/>
                <w:w w:val="90"/>
                <w:szCs w:val="21"/>
                <w:highlight w:val="none"/>
              </w:rPr>
            </w:pPr>
          </w:p>
        </w:tc>
        <w:tc>
          <w:tcPr>
            <w:tcW w:w="3390"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HJ2537水性涂料</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cs="宋体"/>
                <w:color w:val="auto"/>
                <w:w w:val="90"/>
                <w:szCs w:val="21"/>
                <w:highlight w:val="none"/>
              </w:rPr>
            </w:pPr>
            <w:r>
              <w:rPr>
                <w:rFonts w:hint="eastAsia" w:ascii="宋体" w:hAnsi="宋体" w:cs="宋体"/>
                <w:color w:val="auto"/>
                <w:w w:val="90"/>
                <w:szCs w:val="21"/>
                <w:highlight w:val="none"/>
              </w:rPr>
              <w:t>45</w:t>
            </w:r>
          </w:p>
        </w:tc>
        <w:tc>
          <w:tcPr>
            <w:tcW w:w="1985"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A100699其他建筑涂料</w:t>
            </w:r>
          </w:p>
        </w:tc>
        <w:tc>
          <w:tcPr>
            <w:tcW w:w="2268" w:type="dxa"/>
            <w:vAlign w:val="center"/>
          </w:tcPr>
          <w:p>
            <w:pPr>
              <w:rPr>
                <w:rFonts w:ascii="宋体" w:hAnsi="宋体" w:cs="宋体"/>
                <w:color w:val="auto"/>
                <w:w w:val="90"/>
                <w:szCs w:val="21"/>
                <w:highlight w:val="none"/>
              </w:rPr>
            </w:pPr>
          </w:p>
        </w:tc>
        <w:tc>
          <w:tcPr>
            <w:tcW w:w="1855" w:type="dxa"/>
            <w:vAlign w:val="center"/>
          </w:tcPr>
          <w:p>
            <w:pPr>
              <w:rPr>
                <w:rFonts w:ascii="宋体" w:hAnsi="宋体" w:cs="宋体"/>
                <w:color w:val="auto"/>
                <w:w w:val="90"/>
                <w:szCs w:val="21"/>
                <w:highlight w:val="none"/>
              </w:rPr>
            </w:pPr>
          </w:p>
        </w:tc>
        <w:tc>
          <w:tcPr>
            <w:tcW w:w="3390"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HJ2537水性涂料</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cs="宋体"/>
                <w:color w:val="auto"/>
                <w:w w:val="90"/>
                <w:szCs w:val="21"/>
                <w:highlight w:val="none"/>
              </w:rPr>
            </w:pPr>
            <w:r>
              <w:rPr>
                <w:rFonts w:hint="eastAsia" w:ascii="宋体" w:hAnsi="宋体" w:cs="宋体"/>
                <w:color w:val="auto"/>
                <w:w w:val="90"/>
                <w:szCs w:val="21"/>
                <w:highlight w:val="none"/>
              </w:rPr>
              <w:t>46</w:t>
            </w:r>
          </w:p>
        </w:tc>
        <w:tc>
          <w:tcPr>
            <w:tcW w:w="1985"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A100701门、门槛</w:t>
            </w:r>
          </w:p>
        </w:tc>
        <w:tc>
          <w:tcPr>
            <w:tcW w:w="2268" w:type="dxa"/>
            <w:vAlign w:val="center"/>
          </w:tcPr>
          <w:p>
            <w:pPr>
              <w:rPr>
                <w:rFonts w:ascii="宋体" w:hAnsi="宋体" w:cs="宋体"/>
                <w:color w:val="auto"/>
                <w:w w:val="90"/>
                <w:szCs w:val="21"/>
                <w:highlight w:val="none"/>
              </w:rPr>
            </w:pPr>
          </w:p>
        </w:tc>
        <w:tc>
          <w:tcPr>
            <w:tcW w:w="1855" w:type="dxa"/>
            <w:vAlign w:val="center"/>
          </w:tcPr>
          <w:p>
            <w:pPr>
              <w:rPr>
                <w:rFonts w:ascii="宋体" w:hAnsi="宋体" w:cs="宋体"/>
                <w:color w:val="auto"/>
                <w:w w:val="90"/>
                <w:szCs w:val="21"/>
                <w:highlight w:val="none"/>
              </w:rPr>
            </w:pPr>
          </w:p>
        </w:tc>
        <w:tc>
          <w:tcPr>
            <w:tcW w:w="3390"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HJ/T237塑料门窗/HJ459木质门和钢质门</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cs="宋体"/>
                <w:color w:val="auto"/>
                <w:w w:val="90"/>
                <w:szCs w:val="21"/>
                <w:highlight w:val="none"/>
              </w:rPr>
            </w:pPr>
            <w:r>
              <w:rPr>
                <w:rFonts w:hint="eastAsia" w:ascii="宋体" w:hAnsi="宋体" w:cs="宋体"/>
                <w:color w:val="auto"/>
                <w:w w:val="90"/>
                <w:szCs w:val="21"/>
                <w:highlight w:val="none"/>
              </w:rPr>
              <w:t>47</w:t>
            </w:r>
          </w:p>
        </w:tc>
        <w:tc>
          <w:tcPr>
            <w:tcW w:w="1985"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A100702窗</w:t>
            </w:r>
          </w:p>
        </w:tc>
        <w:tc>
          <w:tcPr>
            <w:tcW w:w="2268" w:type="dxa"/>
            <w:vAlign w:val="center"/>
          </w:tcPr>
          <w:p>
            <w:pPr>
              <w:rPr>
                <w:rFonts w:ascii="宋体" w:hAnsi="宋体" w:cs="宋体"/>
                <w:color w:val="auto"/>
                <w:w w:val="90"/>
                <w:szCs w:val="21"/>
                <w:highlight w:val="none"/>
              </w:rPr>
            </w:pPr>
          </w:p>
        </w:tc>
        <w:tc>
          <w:tcPr>
            <w:tcW w:w="1855" w:type="dxa"/>
            <w:vAlign w:val="center"/>
          </w:tcPr>
          <w:p>
            <w:pPr>
              <w:rPr>
                <w:rFonts w:ascii="宋体" w:hAnsi="宋体" w:cs="宋体"/>
                <w:color w:val="auto"/>
                <w:w w:val="90"/>
                <w:szCs w:val="21"/>
                <w:highlight w:val="none"/>
              </w:rPr>
            </w:pPr>
          </w:p>
        </w:tc>
        <w:tc>
          <w:tcPr>
            <w:tcW w:w="3390"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HJ/T237塑料门窗</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cs="宋体"/>
                <w:color w:val="auto"/>
                <w:w w:val="90"/>
                <w:szCs w:val="21"/>
                <w:highlight w:val="none"/>
              </w:rPr>
            </w:pPr>
            <w:r>
              <w:rPr>
                <w:rFonts w:hint="eastAsia" w:ascii="宋体" w:hAnsi="宋体" w:cs="宋体"/>
                <w:color w:val="auto"/>
                <w:w w:val="90"/>
                <w:szCs w:val="21"/>
                <w:highlight w:val="none"/>
              </w:rPr>
              <w:t>48</w:t>
            </w:r>
          </w:p>
        </w:tc>
        <w:tc>
          <w:tcPr>
            <w:tcW w:w="1985"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A170108涂料（建筑涂料除外）</w:t>
            </w:r>
          </w:p>
        </w:tc>
        <w:tc>
          <w:tcPr>
            <w:tcW w:w="2268" w:type="dxa"/>
            <w:vAlign w:val="center"/>
          </w:tcPr>
          <w:p>
            <w:pPr>
              <w:rPr>
                <w:rFonts w:ascii="宋体" w:hAnsi="宋体" w:cs="宋体"/>
                <w:color w:val="auto"/>
                <w:w w:val="90"/>
                <w:szCs w:val="21"/>
                <w:highlight w:val="none"/>
              </w:rPr>
            </w:pPr>
          </w:p>
        </w:tc>
        <w:tc>
          <w:tcPr>
            <w:tcW w:w="1855" w:type="dxa"/>
            <w:vAlign w:val="center"/>
          </w:tcPr>
          <w:p>
            <w:pPr>
              <w:rPr>
                <w:rFonts w:ascii="宋体" w:hAnsi="宋体" w:cs="宋体"/>
                <w:color w:val="auto"/>
                <w:w w:val="90"/>
                <w:szCs w:val="21"/>
                <w:highlight w:val="none"/>
              </w:rPr>
            </w:pPr>
          </w:p>
        </w:tc>
        <w:tc>
          <w:tcPr>
            <w:tcW w:w="3390"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HJ2537水性涂料</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cs="宋体"/>
                <w:color w:val="auto"/>
                <w:w w:val="90"/>
                <w:szCs w:val="21"/>
                <w:highlight w:val="none"/>
              </w:rPr>
            </w:pPr>
            <w:r>
              <w:rPr>
                <w:rFonts w:hint="eastAsia" w:ascii="宋体" w:hAnsi="宋体" w:cs="宋体"/>
                <w:color w:val="auto"/>
                <w:w w:val="90"/>
                <w:szCs w:val="21"/>
                <w:highlight w:val="none"/>
              </w:rPr>
              <w:t>49</w:t>
            </w:r>
          </w:p>
        </w:tc>
        <w:tc>
          <w:tcPr>
            <w:tcW w:w="1985"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A170112密封用填料及类似品</w:t>
            </w:r>
          </w:p>
        </w:tc>
        <w:tc>
          <w:tcPr>
            <w:tcW w:w="2268" w:type="dxa"/>
            <w:vAlign w:val="center"/>
          </w:tcPr>
          <w:p>
            <w:pPr>
              <w:rPr>
                <w:rFonts w:ascii="宋体" w:hAnsi="宋体" w:cs="宋体"/>
                <w:color w:val="auto"/>
                <w:w w:val="90"/>
                <w:szCs w:val="21"/>
                <w:highlight w:val="none"/>
              </w:rPr>
            </w:pPr>
          </w:p>
        </w:tc>
        <w:tc>
          <w:tcPr>
            <w:tcW w:w="1855" w:type="dxa"/>
            <w:vAlign w:val="center"/>
          </w:tcPr>
          <w:p>
            <w:pPr>
              <w:rPr>
                <w:rFonts w:ascii="宋体" w:hAnsi="宋体" w:cs="宋体"/>
                <w:color w:val="auto"/>
                <w:w w:val="90"/>
                <w:szCs w:val="21"/>
                <w:highlight w:val="none"/>
              </w:rPr>
            </w:pPr>
          </w:p>
        </w:tc>
        <w:tc>
          <w:tcPr>
            <w:tcW w:w="3390"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HJ2541胶粘剂</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cs="宋体"/>
                <w:color w:val="auto"/>
                <w:w w:val="90"/>
                <w:szCs w:val="21"/>
                <w:highlight w:val="none"/>
              </w:rPr>
            </w:pPr>
            <w:r>
              <w:rPr>
                <w:rFonts w:hint="eastAsia" w:ascii="宋体" w:hAnsi="宋体" w:cs="宋体"/>
                <w:color w:val="auto"/>
                <w:w w:val="90"/>
                <w:szCs w:val="21"/>
                <w:highlight w:val="none"/>
              </w:rPr>
              <w:t>50</w:t>
            </w:r>
          </w:p>
        </w:tc>
        <w:tc>
          <w:tcPr>
            <w:tcW w:w="1985"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A180201塑料制品</w:t>
            </w:r>
          </w:p>
        </w:tc>
        <w:tc>
          <w:tcPr>
            <w:tcW w:w="2268" w:type="dxa"/>
            <w:vAlign w:val="center"/>
          </w:tcPr>
          <w:p>
            <w:pPr>
              <w:rPr>
                <w:rFonts w:ascii="宋体" w:hAnsi="宋体" w:cs="宋体"/>
                <w:color w:val="auto"/>
                <w:w w:val="90"/>
                <w:szCs w:val="21"/>
                <w:highlight w:val="none"/>
              </w:rPr>
            </w:pPr>
          </w:p>
        </w:tc>
        <w:tc>
          <w:tcPr>
            <w:tcW w:w="1855" w:type="dxa"/>
            <w:vAlign w:val="center"/>
          </w:tcPr>
          <w:p>
            <w:pPr>
              <w:rPr>
                <w:rFonts w:ascii="宋体" w:hAnsi="宋体" w:cs="宋体"/>
                <w:color w:val="auto"/>
                <w:w w:val="90"/>
                <w:szCs w:val="21"/>
                <w:highlight w:val="none"/>
              </w:rPr>
            </w:pPr>
          </w:p>
        </w:tc>
        <w:tc>
          <w:tcPr>
            <w:tcW w:w="3390" w:type="dxa"/>
            <w:vAlign w:val="center"/>
          </w:tcPr>
          <w:p>
            <w:pPr>
              <w:rPr>
                <w:rFonts w:ascii="宋体" w:hAnsi="宋体" w:cs="宋体"/>
                <w:color w:val="auto"/>
                <w:w w:val="90"/>
                <w:szCs w:val="21"/>
                <w:highlight w:val="none"/>
              </w:rPr>
            </w:pPr>
            <w:r>
              <w:rPr>
                <w:rFonts w:hint="eastAsia" w:ascii="宋体" w:hAnsi="宋体" w:cs="宋体"/>
                <w:color w:val="auto"/>
                <w:w w:val="90"/>
                <w:szCs w:val="21"/>
                <w:highlight w:val="none"/>
              </w:rPr>
              <w:t>HJ/T226建筑用塑料管材/HJ/T231再生塑料制品</w:t>
            </w:r>
          </w:p>
        </w:tc>
      </w:tr>
    </w:tbl>
    <w:p>
      <w:pPr>
        <w:spacing w:line="360" w:lineRule="auto"/>
        <w:ind w:left="-850" w:leftChars="-405" w:right="-1050" w:rightChars="-500" w:firstLine="382" w:firstLineChars="201"/>
        <w:rPr>
          <w:rFonts w:ascii="宋体" w:hAnsi="宋体" w:cs="宋体"/>
          <w:color w:val="auto"/>
          <w:kern w:val="0"/>
          <w:sz w:val="28"/>
          <w:highlight w:val="none"/>
        </w:rPr>
      </w:pPr>
      <w:r>
        <w:rPr>
          <w:rFonts w:hint="eastAsia" w:ascii="宋体" w:hAnsi="宋体" w:cs="宋体"/>
          <w:b/>
          <w:color w:val="auto"/>
          <w:w w:val="90"/>
          <w:highlight w:val="none"/>
        </w:rPr>
        <w:t>注：环境标志产品认证应依据相关标准的最新版本。</w:t>
      </w:r>
    </w:p>
    <w:p>
      <w:pPr>
        <w:pStyle w:val="4"/>
        <w:rPr>
          <w:rFonts w:ascii="宋体" w:hAnsi="宋体" w:cs="宋体"/>
          <w:color w:val="auto"/>
          <w:highlight w:val="none"/>
        </w:rPr>
      </w:pPr>
      <w:r>
        <w:rPr>
          <w:rFonts w:hint="eastAsia" w:ascii="宋体" w:hAnsi="宋体" w:cs="宋体"/>
          <w:color w:val="auto"/>
          <w:highlight w:val="none"/>
        </w:rPr>
        <w:br w:type="page"/>
      </w:r>
      <w:bookmarkStart w:id="502" w:name="_Toc17428254"/>
      <w:bookmarkStart w:id="503" w:name="_Toc7668950"/>
      <w:bookmarkStart w:id="504" w:name="_Toc7574705"/>
      <w:bookmarkStart w:id="505" w:name="_Toc7988421"/>
      <w:bookmarkStart w:id="506" w:name="_Toc20358292"/>
      <w:bookmarkStart w:id="507" w:name="_Toc7988475"/>
      <w:bookmarkStart w:id="508" w:name="_Toc8007005"/>
      <w:bookmarkStart w:id="509" w:name="_Toc7542916"/>
      <w:bookmarkStart w:id="510" w:name="_Toc7488759"/>
      <w:bookmarkStart w:id="511" w:name="_Toc24471818"/>
      <w:bookmarkStart w:id="512" w:name="_Toc10432458"/>
      <w:bookmarkStart w:id="513" w:name="_Toc7664197"/>
      <w:bookmarkStart w:id="514" w:name="_Toc7492528"/>
      <w:bookmarkStart w:id="515" w:name="_Toc7993641"/>
      <w:bookmarkStart w:id="516" w:name="_Toc17428349"/>
      <w:bookmarkStart w:id="517" w:name="_Toc25765010"/>
      <w:bookmarkStart w:id="518" w:name="_Toc7663597"/>
      <w:r>
        <w:rPr>
          <w:rFonts w:hint="eastAsia" w:ascii="宋体" w:hAnsi="宋体" w:cs="宋体"/>
          <w:color w:val="auto"/>
          <w:highlight w:val="none"/>
        </w:rPr>
        <w:t xml:space="preserve">    市场监管总局关于发布参与实施政府采购节能产品、环境标志产品认证机构名录的公告（2019年第16号）</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widowControl/>
        <w:shd w:val="clear" w:color="auto" w:fill="FFFFFF"/>
        <w:spacing w:before="68" w:after="299" w:line="360" w:lineRule="auto"/>
        <w:jc w:val="center"/>
        <w:textAlignment w:val="baseline"/>
        <w:rPr>
          <w:rFonts w:ascii="宋体" w:hAnsi="宋体" w:cs="宋体"/>
          <w:b/>
          <w:color w:val="auto"/>
          <w:kern w:val="0"/>
          <w:sz w:val="28"/>
          <w:highlight w:val="none"/>
        </w:rPr>
      </w:pPr>
    </w:p>
    <w:p>
      <w:pPr>
        <w:widowControl/>
        <w:shd w:val="clear" w:color="auto" w:fill="FFFFFF"/>
        <w:spacing w:before="68" w:after="299" w:line="360" w:lineRule="auto"/>
        <w:jc w:val="center"/>
        <w:textAlignment w:val="baseline"/>
        <w:rPr>
          <w:rFonts w:ascii="宋体" w:hAnsi="宋体" w:cs="宋体"/>
          <w:b/>
          <w:color w:val="auto"/>
          <w:kern w:val="0"/>
          <w:sz w:val="36"/>
          <w:highlight w:val="none"/>
        </w:rPr>
      </w:pPr>
      <w:r>
        <w:rPr>
          <w:rFonts w:hint="eastAsia" w:ascii="宋体" w:hAnsi="宋体" w:cs="宋体"/>
          <w:b/>
          <w:color w:val="auto"/>
          <w:kern w:val="0"/>
          <w:sz w:val="36"/>
          <w:highlight w:val="none"/>
        </w:rPr>
        <w:t>市场监管总局关于发布参与实施政府采购节能产品、环境</w:t>
      </w:r>
    </w:p>
    <w:p>
      <w:pPr>
        <w:widowControl/>
        <w:shd w:val="clear" w:color="auto" w:fill="FFFFFF"/>
        <w:spacing w:before="68" w:after="299" w:line="360" w:lineRule="auto"/>
        <w:jc w:val="center"/>
        <w:textAlignment w:val="baseline"/>
        <w:rPr>
          <w:rFonts w:ascii="宋体" w:hAnsi="宋体" w:cs="宋体"/>
          <w:b/>
          <w:color w:val="auto"/>
          <w:kern w:val="0"/>
          <w:sz w:val="24"/>
          <w:highlight w:val="none"/>
        </w:rPr>
      </w:pPr>
      <w:r>
        <w:rPr>
          <w:rFonts w:hint="eastAsia" w:ascii="宋体" w:hAnsi="宋体" w:cs="宋体"/>
          <w:b/>
          <w:color w:val="auto"/>
          <w:kern w:val="0"/>
          <w:sz w:val="36"/>
          <w:highlight w:val="none"/>
        </w:rPr>
        <w:t>标志产品认证机构名录的公告</w:t>
      </w:r>
    </w:p>
    <w:p>
      <w:pPr>
        <w:widowControl/>
        <w:shd w:val="clear" w:color="auto" w:fill="FFFFFF"/>
        <w:spacing w:before="68" w:after="299" w:line="360" w:lineRule="auto"/>
        <w:jc w:val="center"/>
        <w:textAlignment w:val="baseline"/>
        <w:rPr>
          <w:rFonts w:ascii="宋体" w:hAnsi="宋体" w:cs="宋体"/>
          <w:color w:val="auto"/>
          <w:kern w:val="0"/>
          <w:sz w:val="24"/>
          <w:highlight w:val="none"/>
        </w:rPr>
      </w:pPr>
      <w:r>
        <w:rPr>
          <w:rFonts w:hint="eastAsia" w:ascii="宋体" w:hAnsi="宋体" w:cs="宋体"/>
          <w:color w:val="auto"/>
          <w:kern w:val="0"/>
          <w:sz w:val="24"/>
          <w:highlight w:val="none"/>
        </w:rPr>
        <w:t>2019年第16号</w:t>
      </w:r>
    </w:p>
    <w:p>
      <w:pPr>
        <w:widowControl/>
        <w:shd w:val="clear" w:color="auto" w:fill="FFFFFF"/>
        <w:spacing w:before="68" w:after="299" w:line="360" w:lineRule="auto"/>
        <w:ind w:firstLine="424" w:firstLineChars="177"/>
        <w:jc w:val="left"/>
        <w:textAlignment w:val="baseline"/>
        <w:rPr>
          <w:rFonts w:ascii="宋体" w:hAnsi="宋体" w:cs="宋体"/>
          <w:color w:val="auto"/>
          <w:kern w:val="0"/>
          <w:sz w:val="24"/>
          <w:highlight w:val="none"/>
        </w:rPr>
      </w:pPr>
      <w:r>
        <w:rPr>
          <w:rFonts w:hint="eastAsia" w:ascii="宋体" w:hAnsi="宋体" w:cs="宋体"/>
          <w:color w:val="auto"/>
          <w:kern w:val="0"/>
          <w:sz w:val="24"/>
          <w:highlight w:val="none"/>
        </w:rPr>
        <w:t>根据《财政部 发展改革委 生态环境部 市场监管总局关于调整优化节能产品、环境标志产品政府采购执行机制的通知》(财库〔2019〕9号)和《市场监管总局办公厅关于扩大参与实施政府采购节能产品、环境标志产品认证机构范围的通知》（市监认证函〔2019〕513号）要求，经商财政部、发展改革委、生态环境部，市场监管总局已组织完成扩大参与实施政府采购节能产品、环境标志产品认证机构范围试点优选工作，现将《参与实施政府采购节能产品认证机构名录》《参与实施政府采购环境标志产品认证机构名录》予以公布。</w:t>
      </w:r>
    </w:p>
    <w:p>
      <w:pPr>
        <w:widowControl/>
        <w:shd w:val="clear" w:color="auto" w:fill="FFFFFF"/>
        <w:spacing w:before="68" w:after="299" w:line="360" w:lineRule="auto"/>
        <w:ind w:firstLine="424" w:firstLineChars="177"/>
        <w:jc w:val="left"/>
        <w:textAlignment w:val="baseline"/>
        <w:rPr>
          <w:rFonts w:ascii="宋体" w:hAnsi="宋体" w:cs="宋体"/>
          <w:color w:val="auto"/>
          <w:kern w:val="0"/>
          <w:sz w:val="24"/>
          <w:highlight w:val="none"/>
        </w:rPr>
      </w:pPr>
      <w:r>
        <w:rPr>
          <w:rFonts w:hint="eastAsia" w:ascii="宋体" w:hAnsi="宋体" w:cs="宋体"/>
          <w:color w:val="auto"/>
          <w:kern w:val="0"/>
          <w:sz w:val="24"/>
          <w:highlight w:val="none"/>
        </w:rPr>
        <w:t>自本公告发布后，新增认证机构应尽快完成政府采购认证信息系统对接，对接完成后方可开展相关认证工作。</w:t>
      </w:r>
    </w:p>
    <w:p>
      <w:pPr>
        <w:widowControl/>
        <w:shd w:val="clear" w:color="auto" w:fill="FFFFFF"/>
        <w:spacing w:before="68" w:after="299" w:line="360" w:lineRule="auto"/>
        <w:jc w:val="right"/>
        <w:textAlignment w:val="baseline"/>
        <w:rPr>
          <w:rFonts w:ascii="宋体" w:hAnsi="宋体" w:cs="宋体"/>
          <w:color w:val="auto"/>
          <w:kern w:val="0"/>
          <w:sz w:val="24"/>
          <w:highlight w:val="none"/>
        </w:rPr>
      </w:pPr>
      <w:r>
        <w:rPr>
          <w:rFonts w:hint="eastAsia" w:ascii="宋体" w:hAnsi="宋体" w:cs="宋体"/>
          <w:color w:val="auto"/>
          <w:kern w:val="0"/>
          <w:sz w:val="24"/>
          <w:highlight w:val="none"/>
        </w:rPr>
        <w:t>市场监管总局</w:t>
      </w:r>
    </w:p>
    <w:p>
      <w:pPr>
        <w:widowControl/>
        <w:shd w:val="clear" w:color="auto" w:fill="FFFFFF"/>
        <w:spacing w:before="68" w:after="299" w:line="360" w:lineRule="auto"/>
        <w:jc w:val="right"/>
        <w:textAlignment w:val="baseline"/>
        <w:rPr>
          <w:rFonts w:ascii="宋体" w:hAnsi="宋体" w:cs="宋体"/>
          <w:color w:val="auto"/>
          <w:kern w:val="0"/>
          <w:sz w:val="24"/>
          <w:highlight w:val="none"/>
        </w:rPr>
      </w:pPr>
      <w:r>
        <w:rPr>
          <w:rFonts w:hint="eastAsia" w:ascii="宋体" w:hAnsi="宋体" w:cs="宋体"/>
          <w:color w:val="auto"/>
          <w:kern w:val="0"/>
          <w:sz w:val="24"/>
          <w:highlight w:val="none"/>
        </w:rPr>
        <w:t>2019年4月3日</w:t>
      </w:r>
    </w:p>
    <w:p>
      <w:pPr>
        <w:keepNext/>
        <w:widowControl/>
        <w:adjustRightInd/>
        <w:rPr>
          <w:rFonts w:ascii="宋体" w:hAnsi="宋体" w:cs="宋体"/>
          <w:color w:val="auto"/>
          <w:highlight w:val="none"/>
        </w:rPr>
      </w:pPr>
      <w:r>
        <w:rPr>
          <w:rFonts w:hint="eastAsia" w:ascii="宋体" w:hAnsi="宋体" w:cs="宋体"/>
          <w:color w:val="auto"/>
          <w:highlight w:val="none"/>
        </w:rPr>
        <w:br w:type="page"/>
      </w:r>
      <w:r>
        <w:rPr>
          <w:rFonts w:hint="eastAsia" w:ascii="宋体" w:hAnsi="宋体" w:cs="宋体"/>
          <w:color w:val="auto"/>
          <w:highlight w:val="none"/>
        </w:rPr>
        <w:t>附1：参与实施政府采购节能产品认证机构名录</w:t>
      </w:r>
    </w:p>
    <w:tbl>
      <w:tblPr>
        <w:tblStyle w:val="63"/>
        <w:tblW w:w="0" w:type="auto"/>
        <w:jc w:val="center"/>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shd w:val="clear" w:color="auto" w:fill="FFFFFF"/>
        <w:tblLayout w:type="fixed"/>
        <w:tblCellMar>
          <w:top w:w="27" w:type="dxa"/>
          <w:left w:w="27" w:type="dxa"/>
          <w:bottom w:w="27" w:type="dxa"/>
          <w:right w:w="27" w:type="dxa"/>
        </w:tblCellMar>
      </w:tblPr>
      <w:tblGrid>
        <w:gridCol w:w="568"/>
        <w:gridCol w:w="1134"/>
        <w:gridCol w:w="1347"/>
        <w:gridCol w:w="1402"/>
        <w:gridCol w:w="2070"/>
        <w:gridCol w:w="3261"/>
      </w:tblGrid>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shd w:val="clear" w:color="auto" w:fill="FFFFFF"/>
          <w:tblCellMar>
            <w:top w:w="27" w:type="dxa"/>
            <w:left w:w="27" w:type="dxa"/>
            <w:bottom w:w="27" w:type="dxa"/>
            <w:right w:w="27" w:type="dxa"/>
          </w:tblCellMar>
        </w:tblPrEx>
        <w:trPr>
          <w:trHeight w:val="454" w:hRule="atLeast"/>
          <w:tblHeader/>
          <w:jc w:val="center"/>
        </w:trPr>
        <w:tc>
          <w:tcPr>
            <w:tcW w:w="568" w:type="dxa"/>
            <w:vMerge w:val="restart"/>
            <w:shd w:val="clear" w:color="auto" w:fill="DAEEF3"/>
            <w:tcMar>
              <w:top w:w="0" w:type="dxa"/>
              <w:left w:w="108" w:type="dxa"/>
              <w:bottom w:w="0" w:type="dxa"/>
              <w:right w:w="108" w:type="dxa"/>
            </w:tcMar>
            <w:vAlign w:val="center"/>
          </w:tcPr>
          <w:p>
            <w:pPr>
              <w:widowControl/>
              <w:spacing w:line="276" w:lineRule="auto"/>
              <w:jc w:val="center"/>
              <w:textAlignment w:val="baseline"/>
              <w:rPr>
                <w:rFonts w:ascii="宋体" w:hAnsi="宋体" w:cs="宋体"/>
                <w:b/>
                <w:color w:val="auto"/>
                <w:w w:val="90"/>
                <w:kern w:val="0"/>
                <w:sz w:val="22"/>
                <w:szCs w:val="22"/>
                <w:highlight w:val="none"/>
              </w:rPr>
            </w:pPr>
            <w:r>
              <w:rPr>
                <w:rFonts w:hint="eastAsia" w:ascii="宋体" w:hAnsi="宋体" w:cs="宋体"/>
                <w:b/>
                <w:color w:val="auto"/>
                <w:w w:val="90"/>
                <w:kern w:val="0"/>
                <w:sz w:val="22"/>
                <w:szCs w:val="22"/>
                <w:highlight w:val="none"/>
              </w:rPr>
              <w:t>序号</w:t>
            </w:r>
          </w:p>
        </w:tc>
        <w:tc>
          <w:tcPr>
            <w:tcW w:w="2481" w:type="dxa"/>
            <w:gridSpan w:val="2"/>
            <w:shd w:val="clear" w:color="auto" w:fill="DAEEF3"/>
            <w:tcMar>
              <w:top w:w="0" w:type="dxa"/>
              <w:left w:w="108" w:type="dxa"/>
              <w:bottom w:w="0" w:type="dxa"/>
              <w:right w:w="108" w:type="dxa"/>
            </w:tcMar>
            <w:vAlign w:val="center"/>
          </w:tcPr>
          <w:p>
            <w:pPr>
              <w:widowControl/>
              <w:spacing w:line="276" w:lineRule="auto"/>
              <w:jc w:val="center"/>
              <w:textAlignment w:val="baseline"/>
              <w:rPr>
                <w:rFonts w:ascii="宋体" w:hAnsi="宋体" w:cs="宋体"/>
                <w:b/>
                <w:color w:val="auto"/>
                <w:w w:val="90"/>
                <w:kern w:val="0"/>
                <w:sz w:val="22"/>
                <w:szCs w:val="22"/>
                <w:highlight w:val="none"/>
              </w:rPr>
            </w:pPr>
            <w:r>
              <w:rPr>
                <w:rFonts w:hint="eastAsia" w:ascii="宋体" w:hAnsi="宋体" w:cs="宋体"/>
                <w:b/>
                <w:color w:val="auto"/>
                <w:w w:val="90"/>
                <w:kern w:val="0"/>
                <w:sz w:val="22"/>
                <w:szCs w:val="22"/>
                <w:highlight w:val="none"/>
              </w:rPr>
              <w:t>一级目录</w:t>
            </w:r>
          </w:p>
        </w:tc>
        <w:tc>
          <w:tcPr>
            <w:tcW w:w="3472" w:type="dxa"/>
            <w:gridSpan w:val="2"/>
            <w:shd w:val="clear" w:color="auto" w:fill="DAEEF3"/>
            <w:tcMar>
              <w:top w:w="0" w:type="dxa"/>
              <w:left w:w="108" w:type="dxa"/>
              <w:bottom w:w="0" w:type="dxa"/>
              <w:right w:w="108" w:type="dxa"/>
            </w:tcMar>
            <w:vAlign w:val="center"/>
          </w:tcPr>
          <w:p>
            <w:pPr>
              <w:widowControl/>
              <w:spacing w:line="276" w:lineRule="auto"/>
              <w:jc w:val="center"/>
              <w:textAlignment w:val="baseline"/>
              <w:rPr>
                <w:rFonts w:ascii="宋体" w:hAnsi="宋体" w:cs="宋体"/>
                <w:b/>
                <w:color w:val="auto"/>
                <w:w w:val="90"/>
                <w:kern w:val="0"/>
                <w:sz w:val="22"/>
                <w:szCs w:val="22"/>
                <w:highlight w:val="none"/>
              </w:rPr>
            </w:pPr>
            <w:r>
              <w:rPr>
                <w:rFonts w:hint="eastAsia" w:ascii="宋体" w:hAnsi="宋体" w:cs="宋体"/>
                <w:b/>
                <w:color w:val="auto"/>
                <w:w w:val="90"/>
                <w:kern w:val="0"/>
                <w:sz w:val="22"/>
                <w:szCs w:val="22"/>
                <w:highlight w:val="none"/>
              </w:rPr>
              <w:t>二级目录</w:t>
            </w:r>
          </w:p>
        </w:tc>
        <w:tc>
          <w:tcPr>
            <w:tcW w:w="3261" w:type="dxa"/>
            <w:vMerge w:val="restart"/>
            <w:shd w:val="clear" w:color="auto" w:fill="DAEEF3"/>
            <w:tcMar>
              <w:top w:w="0" w:type="dxa"/>
              <w:left w:w="108" w:type="dxa"/>
              <w:bottom w:w="0" w:type="dxa"/>
              <w:right w:w="108" w:type="dxa"/>
            </w:tcMar>
            <w:vAlign w:val="center"/>
          </w:tcPr>
          <w:p>
            <w:pPr>
              <w:widowControl/>
              <w:spacing w:line="276" w:lineRule="auto"/>
              <w:jc w:val="center"/>
              <w:textAlignment w:val="baseline"/>
              <w:rPr>
                <w:rFonts w:ascii="宋体" w:hAnsi="宋体" w:cs="宋体"/>
                <w:b/>
                <w:color w:val="auto"/>
                <w:w w:val="90"/>
                <w:kern w:val="0"/>
                <w:sz w:val="22"/>
                <w:szCs w:val="22"/>
                <w:highlight w:val="none"/>
              </w:rPr>
            </w:pPr>
            <w:r>
              <w:rPr>
                <w:rFonts w:hint="eastAsia" w:ascii="宋体" w:hAnsi="宋体" w:cs="宋体"/>
                <w:b/>
                <w:color w:val="auto"/>
                <w:w w:val="90"/>
                <w:kern w:val="0"/>
                <w:sz w:val="22"/>
                <w:szCs w:val="22"/>
                <w:highlight w:val="none"/>
              </w:rPr>
              <w:t>认证机构名录</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tblHeader/>
          <w:jc w:val="center"/>
        </w:trPr>
        <w:tc>
          <w:tcPr>
            <w:tcW w:w="568" w:type="dxa"/>
            <w:vMerge w:val="continue"/>
            <w:shd w:val="clear" w:color="auto" w:fill="DAEEF3"/>
            <w:tcMar>
              <w:top w:w="0" w:type="dxa"/>
              <w:left w:w="0" w:type="dxa"/>
              <w:bottom w:w="0" w:type="dxa"/>
              <w:right w:w="0" w:type="dxa"/>
            </w:tcMar>
            <w:vAlign w:val="center"/>
          </w:tcPr>
          <w:p>
            <w:pPr>
              <w:spacing w:line="276" w:lineRule="auto"/>
              <w:jc w:val="center"/>
              <w:textAlignment w:val="baseline"/>
              <w:rPr>
                <w:rFonts w:ascii="宋体" w:hAnsi="宋体" w:cs="宋体"/>
                <w:color w:val="auto"/>
                <w:w w:val="90"/>
                <w:kern w:val="0"/>
                <w:sz w:val="22"/>
                <w:szCs w:val="22"/>
                <w:highlight w:val="none"/>
              </w:rPr>
            </w:pPr>
          </w:p>
        </w:tc>
        <w:tc>
          <w:tcPr>
            <w:tcW w:w="1134" w:type="dxa"/>
            <w:shd w:val="clear" w:color="auto" w:fill="DAEEF3"/>
            <w:tcMar>
              <w:top w:w="0" w:type="dxa"/>
              <w:left w:w="108" w:type="dxa"/>
              <w:bottom w:w="0" w:type="dxa"/>
              <w:right w:w="108" w:type="dxa"/>
            </w:tcMar>
            <w:vAlign w:val="center"/>
          </w:tcPr>
          <w:p>
            <w:pPr>
              <w:widowControl/>
              <w:spacing w:line="276" w:lineRule="auto"/>
              <w:jc w:val="center"/>
              <w:textAlignment w:val="baseline"/>
              <w:rPr>
                <w:rFonts w:ascii="宋体" w:hAnsi="宋体" w:cs="宋体"/>
                <w:b/>
                <w:color w:val="auto"/>
                <w:w w:val="90"/>
                <w:kern w:val="0"/>
                <w:sz w:val="22"/>
                <w:szCs w:val="22"/>
                <w:highlight w:val="none"/>
              </w:rPr>
            </w:pPr>
            <w:r>
              <w:rPr>
                <w:rFonts w:hint="eastAsia" w:ascii="宋体" w:hAnsi="宋体" w:cs="宋体"/>
                <w:b/>
                <w:color w:val="auto"/>
                <w:w w:val="90"/>
                <w:kern w:val="0"/>
                <w:sz w:val="22"/>
                <w:szCs w:val="22"/>
                <w:highlight w:val="none"/>
              </w:rPr>
              <w:t>产品代码</w:t>
            </w:r>
          </w:p>
        </w:tc>
        <w:tc>
          <w:tcPr>
            <w:tcW w:w="1347" w:type="dxa"/>
            <w:shd w:val="clear" w:color="auto" w:fill="DAEEF3"/>
            <w:tcMar>
              <w:top w:w="0" w:type="dxa"/>
              <w:left w:w="0" w:type="dxa"/>
              <w:bottom w:w="0" w:type="dxa"/>
              <w:right w:w="0" w:type="dxa"/>
            </w:tcMar>
            <w:vAlign w:val="center"/>
          </w:tcPr>
          <w:p>
            <w:pPr>
              <w:widowControl/>
              <w:spacing w:line="276" w:lineRule="auto"/>
              <w:jc w:val="center"/>
              <w:textAlignment w:val="baseline"/>
              <w:rPr>
                <w:rFonts w:ascii="宋体" w:hAnsi="宋体" w:cs="宋体"/>
                <w:b/>
                <w:color w:val="auto"/>
                <w:w w:val="90"/>
                <w:kern w:val="0"/>
                <w:sz w:val="22"/>
                <w:szCs w:val="22"/>
                <w:highlight w:val="none"/>
              </w:rPr>
            </w:pPr>
            <w:r>
              <w:rPr>
                <w:rFonts w:hint="eastAsia" w:ascii="宋体" w:hAnsi="宋体" w:cs="宋体"/>
                <w:b/>
                <w:color w:val="auto"/>
                <w:w w:val="90"/>
                <w:kern w:val="0"/>
                <w:sz w:val="22"/>
                <w:szCs w:val="22"/>
                <w:highlight w:val="none"/>
              </w:rPr>
              <w:t>产品名称</w:t>
            </w:r>
          </w:p>
        </w:tc>
        <w:tc>
          <w:tcPr>
            <w:tcW w:w="1402" w:type="dxa"/>
            <w:shd w:val="clear" w:color="auto" w:fill="DAEEF3"/>
            <w:tcMar>
              <w:top w:w="0" w:type="dxa"/>
              <w:left w:w="0" w:type="dxa"/>
              <w:bottom w:w="0" w:type="dxa"/>
              <w:right w:w="0" w:type="dxa"/>
            </w:tcMar>
            <w:vAlign w:val="center"/>
          </w:tcPr>
          <w:p>
            <w:pPr>
              <w:widowControl/>
              <w:spacing w:line="276" w:lineRule="auto"/>
              <w:jc w:val="center"/>
              <w:textAlignment w:val="baseline"/>
              <w:rPr>
                <w:rFonts w:ascii="宋体" w:hAnsi="宋体" w:cs="宋体"/>
                <w:b/>
                <w:color w:val="auto"/>
                <w:w w:val="90"/>
                <w:kern w:val="0"/>
                <w:sz w:val="22"/>
                <w:szCs w:val="22"/>
                <w:highlight w:val="none"/>
              </w:rPr>
            </w:pPr>
            <w:r>
              <w:rPr>
                <w:rFonts w:hint="eastAsia" w:ascii="宋体" w:hAnsi="宋体" w:cs="宋体"/>
                <w:b/>
                <w:color w:val="auto"/>
                <w:w w:val="90"/>
                <w:kern w:val="0"/>
                <w:sz w:val="22"/>
                <w:szCs w:val="22"/>
                <w:highlight w:val="none"/>
              </w:rPr>
              <w:t>产品代码</w:t>
            </w:r>
          </w:p>
        </w:tc>
        <w:tc>
          <w:tcPr>
            <w:tcW w:w="2070" w:type="dxa"/>
            <w:shd w:val="clear" w:color="auto" w:fill="DAEEF3"/>
            <w:tcMar>
              <w:top w:w="0" w:type="dxa"/>
              <w:left w:w="0" w:type="dxa"/>
              <w:bottom w:w="0" w:type="dxa"/>
              <w:right w:w="0" w:type="dxa"/>
            </w:tcMar>
            <w:vAlign w:val="center"/>
          </w:tcPr>
          <w:p>
            <w:pPr>
              <w:widowControl/>
              <w:spacing w:line="276" w:lineRule="auto"/>
              <w:jc w:val="center"/>
              <w:textAlignment w:val="baseline"/>
              <w:rPr>
                <w:rFonts w:ascii="宋体" w:hAnsi="宋体" w:cs="宋体"/>
                <w:b/>
                <w:color w:val="auto"/>
                <w:w w:val="90"/>
                <w:kern w:val="0"/>
                <w:sz w:val="22"/>
                <w:szCs w:val="22"/>
                <w:highlight w:val="none"/>
              </w:rPr>
            </w:pPr>
            <w:r>
              <w:rPr>
                <w:rFonts w:hint="eastAsia" w:ascii="宋体" w:hAnsi="宋体" w:cs="宋体"/>
                <w:b/>
                <w:color w:val="auto"/>
                <w:w w:val="90"/>
                <w:kern w:val="0"/>
                <w:sz w:val="22"/>
                <w:szCs w:val="22"/>
                <w:highlight w:val="none"/>
              </w:rPr>
              <w:t>产品名称</w:t>
            </w:r>
          </w:p>
        </w:tc>
        <w:tc>
          <w:tcPr>
            <w:tcW w:w="3261" w:type="dxa"/>
            <w:vMerge w:val="continue"/>
            <w:shd w:val="clear" w:color="auto" w:fill="DAEEF3"/>
            <w:tcMar>
              <w:top w:w="0" w:type="dxa"/>
              <w:left w:w="0" w:type="dxa"/>
              <w:bottom w:w="0" w:type="dxa"/>
              <w:right w:w="0" w:type="dxa"/>
            </w:tcMar>
            <w:vAlign w:val="center"/>
          </w:tcPr>
          <w:p>
            <w:pPr>
              <w:spacing w:line="276" w:lineRule="auto"/>
              <w:jc w:val="left"/>
              <w:textAlignment w:val="baseline"/>
              <w:rPr>
                <w:rFonts w:ascii="宋体" w:hAnsi="宋体" w:cs="宋体"/>
                <w:color w:val="auto"/>
                <w:w w:val="90"/>
                <w:kern w:val="0"/>
                <w:sz w:val="22"/>
                <w:szCs w:val="22"/>
                <w:highlight w:val="none"/>
              </w:rPr>
            </w:pP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jc w:val="center"/>
        </w:trPr>
        <w:tc>
          <w:tcPr>
            <w:tcW w:w="568" w:type="dxa"/>
            <w:vMerge w:val="restart"/>
            <w:shd w:val="clear" w:color="auto" w:fill="FFFFFF"/>
            <w:tcMar>
              <w:top w:w="0" w:type="dxa"/>
              <w:left w:w="108" w:type="dxa"/>
              <w:bottom w:w="0" w:type="dxa"/>
              <w:right w:w="108"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1</w:t>
            </w:r>
          </w:p>
        </w:tc>
        <w:tc>
          <w:tcPr>
            <w:tcW w:w="1134" w:type="dxa"/>
            <w:vMerge w:val="restart"/>
            <w:shd w:val="clear" w:color="auto" w:fill="FFFFFF"/>
            <w:tcMar>
              <w:top w:w="0" w:type="dxa"/>
              <w:left w:w="108" w:type="dxa"/>
              <w:bottom w:w="0" w:type="dxa"/>
              <w:right w:w="108"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A020101</w:t>
            </w:r>
          </w:p>
        </w:tc>
        <w:tc>
          <w:tcPr>
            <w:tcW w:w="1347" w:type="dxa"/>
            <w:vMerge w:val="restart"/>
            <w:shd w:val="clear" w:color="auto" w:fill="FFFFFF"/>
            <w:tcMar>
              <w:top w:w="0" w:type="dxa"/>
              <w:left w:w="108" w:type="dxa"/>
              <w:bottom w:w="0" w:type="dxa"/>
              <w:right w:w="108"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计算机设备</w:t>
            </w:r>
          </w:p>
        </w:tc>
        <w:tc>
          <w:tcPr>
            <w:tcW w:w="1402"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A02010104</w:t>
            </w:r>
          </w:p>
        </w:tc>
        <w:tc>
          <w:tcPr>
            <w:tcW w:w="2070"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台式计算机</w:t>
            </w:r>
          </w:p>
        </w:tc>
        <w:tc>
          <w:tcPr>
            <w:tcW w:w="3261" w:type="dxa"/>
            <w:vMerge w:val="restart"/>
            <w:shd w:val="clear" w:color="auto" w:fill="FFFFFF"/>
            <w:tcMar>
              <w:top w:w="0" w:type="dxa"/>
              <w:left w:w="108" w:type="dxa"/>
              <w:bottom w:w="0" w:type="dxa"/>
              <w:right w:w="108" w:type="dxa"/>
            </w:tcMar>
            <w:vAlign w:val="center"/>
          </w:tcPr>
          <w:p>
            <w:pPr>
              <w:widowControl/>
              <w:spacing w:line="276" w:lineRule="auto"/>
              <w:jc w:val="left"/>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中国质量认证中心</w:t>
            </w:r>
          </w:p>
          <w:p>
            <w:pPr>
              <w:widowControl/>
              <w:spacing w:line="276" w:lineRule="auto"/>
              <w:jc w:val="left"/>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北京赛西认证有限责任公司</w:t>
            </w:r>
          </w:p>
          <w:p>
            <w:pPr>
              <w:widowControl/>
              <w:spacing w:line="276" w:lineRule="auto"/>
              <w:jc w:val="left"/>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中国网络安全审查技术与认证中心</w:t>
            </w:r>
          </w:p>
          <w:p>
            <w:pPr>
              <w:widowControl/>
              <w:spacing w:line="276" w:lineRule="auto"/>
              <w:jc w:val="left"/>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广州赛宝认证中心服务有限公司</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jc w:val="center"/>
        </w:trPr>
        <w:tc>
          <w:tcPr>
            <w:tcW w:w="568" w:type="dxa"/>
            <w:vMerge w:val="continue"/>
            <w:shd w:val="clear" w:color="auto" w:fill="FFFFFF"/>
            <w:tcMar>
              <w:top w:w="0" w:type="dxa"/>
              <w:left w:w="0" w:type="dxa"/>
              <w:bottom w:w="0" w:type="dxa"/>
              <w:right w:w="0" w:type="dxa"/>
            </w:tcMar>
            <w:vAlign w:val="center"/>
          </w:tcPr>
          <w:p>
            <w:pPr>
              <w:widowControl/>
              <w:spacing w:line="276" w:lineRule="auto"/>
              <w:jc w:val="center"/>
              <w:rPr>
                <w:rFonts w:ascii="宋体" w:hAnsi="宋体" w:cs="宋体"/>
                <w:color w:val="auto"/>
                <w:w w:val="90"/>
                <w:kern w:val="0"/>
                <w:sz w:val="22"/>
                <w:szCs w:val="22"/>
                <w:highlight w:val="none"/>
              </w:rPr>
            </w:pPr>
          </w:p>
        </w:tc>
        <w:tc>
          <w:tcPr>
            <w:tcW w:w="1134" w:type="dxa"/>
            <w:vMerge w:val="continue"/>
            <w:shd w:val="clear" w:color="auto" w:fill="FFFFFF"/>
            <w:tcMar>
              <w:top w:w="0" w:type="dxa"/>
              <w:left w:w="0" w:type="dxa"/>
              <w:bottom w:w="0" w:type="dxa"/>
              <w:right w:w="0" w:type="dxa"/>
            </w:tcMar>
            <w:vAlign w:val="center"/>
          </w:tcPr>
          <w:p>
            <w:pPr>
              <w:widowControl/>
              <w:spacing w:line="276" w:lineRule="auto"/>
              <w:jc w:val="center"/>
              <w:rPr>
                <w:rFonts w:ascii="宋体" w:hAnsi="宋体" w:cs="宋体"/>
                <w:color w:val="auto"/>
                <w:w w:val="90"/>
                <w:kern w:val="0"/>
                <w:sz w:val="22"/>
                <w:szCs w:val="22"/>
                <w:highlight w:val="none"/>
              </w:rPr>
            </w:pPr>
          </w:p>
        </w:tc>
        <w:tc>
          <w:tcPr>
            <w:tcW w:w="1347" w:type="dxa"/>
            <w:vMerge w:val="continue"/>
            <w:shd w:val="clear" w:color="auto" w:fill="FFFFFF"/>
            <w:tcMar>
              <w:top w:w="0" w:type="dxa"/>
              <w:left w:w="0" w:type="dxa"/>
              <w:bottom w:w="0" w:type="dxa"/>
              <w:right w:w="0" w:type="dxa"/>
            </w:tcMar>
            <w:vAlign w:val="center"/>
          </w:tcPr>
          <w:p>
            <w:pPr>
              <w:widowControl/>
              <w:spacing w:line="276" w:lineRule="auto"/>
              <w:jc w:val="center"/>
              <w:rPr>
                <w:rFonts w:ascii="宋体" w:hAnsi="宋体" w:cs="宋体"/>
                <w:color w:val="auto"/>
                <w:w w:val="90"/>
                <w:kern w:val="0"/>
                <w:sz w:val="22"/>
                <w:szCs w:val="22"/>
                <w:highlight w:val="none"/>
              </w:rPr>
            </w:pPr>
          </w:p>
        </w:tc>
        <w:tc>
          <w:tcPr>
            <w:tcW w:w="1402"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A02010105</w:t>
            </w:r>
          </w:p>
        </w:tc>
        <w:tc>
          <w:tcPr>
            <w:tcW w:w="2070" w:type="dxa"/>
            <w:shd w:val="clear" w:color="auto" w:fill="FFFFFF"/>
            <w:tcMar>
              <w:top w:w="0" w:type="dxa"/>
              <w:left w:w="0" w:type="dxa"/>
              <w:bottom w:w="0" w:type="dxa"/>
              <w:right w:w="0"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便携式计算机</w:t>
            </w:r>
          </w:p>
        </w:tc>
        <w:tc>
          <w:tcPr>
            <w:tcW w:w="3261" w:type="dxa"/>
            <w:vMerge w:val="continue"/>
            <w:shd w:val="clear" w:color="auto" w:fill="FFFFFF"/>
            <w:tcMar>
              <w:top w:w="0" w:type="dxa"/>
              <w:left w:w="0" w:type="dxa"/>
              <w:bottom w:w="0" w:type="dxa"/>
              <w:right w:w="0" w:type="dxa"/>
            </w:tcMar>
            <w:vAlign w:val="center"/>
          </w:tcPr>
          <w:p>
            <w:pPr>
              <w:widowControl/>
              <w:spacing w:line="276" w:lineRule="auto"/>
              <w:jc w:val="left"/>
              <w:rPr>
                <w:rFonts w:ascii="宋体" w:hAnsi="宋体" w:cs="宋体"/>
                <w:color w:val="auto"/>
                <w:w w:val="90"/>
                <w:kern w:val="0"/>
                <w:sz w:val="22"/>
                <w:szCs w:val="22"/>
                <w:highlight w:val="none"/>
              </w:rPr>
            </w:pP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jc w:val="center"/>
        </w:trPr>
        <w:tc>
          <w:tcPr>
            <w:tcW w:w="568" w:type="dxa"/>
            <w:vMerge w:val="continue"/>
            <w:shd w:val="clear" w:color="auto" w:fill="FFFFFF"/>
            <w:tcMar>
              <w:top w:w="0" w:type="dxa"/>
              <w:left w:w="0" w:type="dxa"/>
              <w:bottom w:w="0" w:type="dxa"/>
              <w:right w:w="0" w:type="dxa"/>
            </w:tcMar>
            <w:vAlign w:val="center"/>
          </w:tcPr>
          <w:p>
            <w:pPr>
              <w:widowControl/>
              <w:spacing w:line="276" w:lineRule="auto"/>
              <w:jc w:val="center"/>
              <w:rPr>
                <w:rFonts w:ascii="宋体" w:hAnsi="宋体" w:cs="宋体"/>
                <w:color w:val="auto"/>
                <w:w w:val="90"/>
                <w:kern w:val="0"/>
                <w:sz w:val="22"/>
                <w:szCs w:val="22"/>
                <w:highlight w:val="none"/>
              </w:rPr>
            </w:pPr>
          </w:p>
        </w:tc>
        <w:tc>
          <w:tcPr>
            <w:tcW w:w="1134" w:type="dxa"/>
            <w:vMerge w:val="continue"/>
            <w:shd w:val="clear" w:color="auto" w:fill="FFFFFF"/>
            <w:tcMar>
              <w:top w:w="0" w:type="dxa"/>
              <w:left w:w="0" w:type="dxa"/>
              <w:bottom w:w="0" w:type="dxa"/>
              <w:right w:w="0" w:type="dxa"/>
            </w:tcMar>
            <w:vAlign w:val="center"/>
          </w:tcPr>
          <w:p>
            <w:pPr>
              <w:widowControl/>
              <w:spacing w:line="276" w:lineRule="auto"/>
              <w:jc w:val="center"/>
              <w:rPr>
                <w:rFonts w:ascii="宋体" w:hAnsi="宋体" w:cs="宋体"/>
                <w:color w:val="auto"/>
                <w:w w:val="90"/>
                <w:kern w:val="0"/>
                <w:sz w:val="22"/>
                <w:szCs w:val="22"/>
                <w:highlight w:val="none"/>
              </w:rPr>
            </w:pPr>
          </w:p>
        </w:tc>
        <w:tc>
          <w:tcPr>
            <w:tcW w:w="1347" w:type="dxa"/>
            <w:vMerge w:val="continue"/>
            <w:shd w:val="clear" w:color="auto" w:fill="FFFFFF"/>
            <w:tcMar>
              <w:top w:w="0" w:type="dxa"/>
              <w:left w:w="0" w:type="dxa"/>
              <w:bottom w:w="0" w:type="dxa"/>
              <w:right w:w="0" w:type="dxa"/>
            </w:tcMar>
            <w:vAlign w:val="center"/>
          </w:tcPr>
          <w:p>
            <w:pPr>
              <w:widowControl/>
              <w:spacing w:line="276" w:lineRule="auto"/>
              <w:jc w:val="center"/>
              <w:rPr>
                <w:rFonts w:ascii="宋体" w:hAnsi="宋体" w:cs="宋体"/>
                <w:color w:val="auto"/>
                <w:w w:val="90"/>
                <w:kern w:val="0"/>
                <w:sz w:val="22"/>
                <w:szCs w:val="22"/>
                <w:highlight w:val="none"/>
              </w:rPr>
            </w:pPr>
          </w:p>
        </w:tc>
        <w:tc>
          <w:tcPr>
            <w:tcW w:w="1402"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A02010107</w:t>
            </w:r>
          </w:p>
        </w:tc>
        <w:tc>
          <w:tcPr>
            <w:tcW w:w="2070" w:type="dxa"/>
            <w:shd w:val="clear" w:color="auto" w:fill="FFFFFF"/>
            <w:tcMar>
              <w:top w:w="0" w:type="dxa"/>
              <w:left w:w="0" w:type="dxa"/>
              <w:bottom w:w="0" w:type="dxa"/>
              <w:right w:w="0"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平板式微型计算机</w:t>
            </w:r>
          </w:p>
        </w:tc>
        <w:tc>
          <w:tcPr>
            <w:tcW w:w="3261" w:type="dxa"/>
            <w:vMerge w:val="continue"/>
            <w:shd w:val="clear" w:color="auto" w:fill="FFFFFF"/>
            <w:tcMar>
              <w:top w:w="0" w:type="dxa"/>
              <w:left w:w="0" w:type="dxa"/>
              <w:bottom w:w="0" w:type="dxa"/>
              <w:right w:w="0" w:type="dxa"/>
            </w:tcMar>
            <w:vAlign w:val="center"/>
          </w:tcPr>
          <w:p>
            <w:pPr>
              <w:widowControl/>
              <w:spacing w:line="276" w:lineRule="auto"/>
              <w:jc w:val="left"/>
              <w:rPr>
                <w:rFonts w:ascii="宋体" w:hAnsi="宋体" w:cs="宋体"/>
                <w:color w:val="auto"/>
                <w:w w:val="90"/>
                <w:kern w:val="0"/>
                <w:sz w:val="22"/>
                <w:szCs w:val="22"/>
                <w:highlight w:val="none"/>
              </w:rPr>
            </w:pP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jc w:val="center"/>
        </w:trPr>
        <w:tc>
          <w:tcPr>
            <w:tcW w:w="568" w:type="dxa"/>
            <w:vMerge w:val="restart"/>
            <w:shd w:val="clear" w:color="auto" w:fill="FFFFFF"/>
            <w:tcMar>
              <w:top w:w="0" w:type="dxa"/>
              <w:left w:w="108" w:type="dxa"/>
              <w:bottom w:w="0" w:type="dxa"/>
              <w:right w:w="108"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2</w:t>
            </w:r>
          </w:p>
        </w:tc>
        <w:tc>
          <w:tcPr>
            <w:tcW w:w="1134" w:type="dxa"/>
            <w:vMerge w:val="restart"/>
            <w:shd w:val="clear" w:color="auto" w:fill="FFFFFF"/>
            <w:tcMar>
              <w:top w:w="0" w:type="dxa"/>
              <w:left w:w="108" w:type="dxa"/>
              <w:bottom w:w="0" w:type="dxa"/>
              <w:right w:w="108"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A020106</w:t>
            </w:r>
          </w:p>
        </w:tc>
        <w:tc>
          <w:tcPr>
            <w:tcW w:w="1347" w:type="dxa"/>
            <w:vMerge w:val="restart"/>
            <w:shd w:val="clear" w:color="auto" w:fill="FFFFFF"/>
            <w:tcMar>
              <w:top w:w="0" w:type="dxa"/>
              <w:left w:w="108" w:type="dxa"/>
              <w:bottom w:w="0" w:type="dxa"/>
              <w:right w:w="108"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输入输出设备</w:t>
            </w:r>
          </w:p>
        </w:tc>
        <w:tc>
          <w:tcPr>
            <w:tcW w:w="1402"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A02010601</w:t>
            </w:r>
          </w:p>
        </w:tc>
        <w:tc>
          <w:tcPr>
            <w:tcW w:w="2070"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打印设备</w:t>
            </w:r>
          </w:p>
        </w:tc>
        <w:tc>
          <w:tcPr>
            <w:tcW w:w="3261" w:type="dxa"/>
            <w:vMerge w:val="continue"/>
            <w:shd w:val="clear" w:color="auto" w:fill="FFFFFF"/>
            <w:tcMar>
              <w:top w:w="0" w:type="dxa"/>
              <w:left w:w="0" w:type="dxa"/>
              <w:bottom w:w="0" w:type="dxa"/>
              <w:right w:w="0" w:type="dxa"/>
            </w:tcMar>
            <w:vAlign w:val="center"/>
          </w:tcPr>
          <w:p>
            <w:pPr>
              <w:widowControl/>
              <w:spacing w:line="276" w:lineRule="auto"/>
              <w:jc w:val="left"/>
              <w:rPr>
                <w:rFonts w:ascii="宋体" w:hAnsi="宋体" w:cs="宋体"/>
                <w:color w:val="auto"/>
                <w:w w:val="90"/>
                <w:kern w:val="0"/>
                <w:sz w:val="22"/>
                <w:szCs w:val="22"/>
                <w:highlight w:val="none"/>
              </w:rPr>
            </w:pP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jc w:val="center"/>
        </w:trPr>
        <w:tc>
          <w:tcPr>
            <w:tcW w:w="568" w:type="dxa"/>
            <w:vMerge w:val="continue"/>
            <w:shd w:val="clear" w:color="auto" w:fill="FFFFFF"/>
            <w:tcMar>
              <w:top w:w="0" w:type="dxa"/>
              <w:left w:w="0" w:type="dxa"/>
              <w:bottom w:w="0" w:type="dxa"/>
              <w:right w:w="0" w:type="dxa"/>
            </w:tcMar>
            <w:vAlign w:val="center"/>
          </w:tcPr>
          <w:p>
            <w:pPr>
              <w:widowControl/>
              <w:spacing w:line="276" w:lineRule="auto"/>
              <w:jc w:val="center"/>
              <w:rPr>
                <w:rFonts w:ascii="宋体" w:hAnsi="宋体" w:cs="宋体"/>
                <w:color w:val="auto"/>
                <w:w w:val="90"/>
                <w:kern w:val="0"/>
                <w:sz w:val="22"/>
                <w:szCs w:val="22"/>
                <w:highlight w:val="none"/>
              </w:rPr>
            </w:pPr>
          </w:p>
        </w:tc>
        <w:tc>
          <w:tcPr>
            <w:tcW w:w="1134" w:type="dxa"/>
            <w:vMerge w:val="continue"/>
            <w:shd w:val="clear" w:color="auto" w:fill="FFFFFF"/>
            <w:tcMar>
              <w:top w:w="0" w:type="dxa"/>
              <w:left w:w="0" w:type="dxa"/>
              <w:bottom w:w="0" w:type="dxa"/>
              <w:right w:w="0" w:type="dxa"/>
            </w:tcMar>
            <w:vAlign w:val="center"/>
          </w:tcPr>
          <w:p>
            <w:pPr>
              <w:widowControl/>
              <w:spacing w:line="276" w:lineRule="auto"/>
              <w:jc w:val="center"/>
              <w:rPr>
                <w:rFonts w:ascii="宋体" w:hAnsi="宋体" w:cs="宋体"/>
                <w:color w:val="auto"/>
                <w:w w:val="90"/>
                <w:kern w:val="0"/>
                <w:sz w:val="22"/>
                <w:szCs w:val="22"/>
                <w:highlight w:val="none"/>
              </w:rPr>
            </w:pPr>
          </w:p>
        </w:tc>
        <w:tc>
          <w:tcPr>
            <w:tcW w:w="1347" w:type="dxa"/>
            <w:vMerge w:val="continue"/>
            <w:shd w:val="clear" w:color="auto" w:fill="FFFFFF"/>
            <w:tcMar>
              <w:top w:w="0" w:type="dxa"/>
              <w:left w:w="0" w:type="dxa"/>
              <w:bottom w:w="0" w:type="dxa"/>
              <w:right w:w="0" w:type="dxa"/>
            </w:tcMar>
            <w:vAlign w:val="center"/>
          </w:tcPr>
          <w:p>
            <w:pPr>
              <w:widowControl/>
              <w:spacing w:line="276" w:lineRule="auto"/>
              <w:jc w:val="center"/>
              <w:rPr>
                <w:rFonts w:ascii="宋体" w:hAnsi="宋体" w:cs="宋体"/>
                <w:color w:val="auto"/>
                <w:w w:val="90"/>
                <w:kern w:val="0"/>
                <w:sz w:val="22"/>
                <w:szCs w:val="22"/>
                <w:highlight w:val="none"/>
              </w:rPr>
            </w:pPr>
          </w:p>
        </w:tc>
        <w:tc>
          <w:tcPr>
            <w:tcW w:w="1402"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A02010604</w:t>
            </w:r>
          </w:p>
        </w:tc>
        <w:tc>
          <w:tcPr>
            <w:tcW w:w="2070" w:type="dxa"/>
            <w:shd w:val="clear" w:color="auto" w:fill="FFFFFF"/>
            <w:tcMar>
              <w:top w:w="0" w:type="dxa"/>
              <w:left w:w="0" w:type="dxa"/>
              <w:bottom w:w="0" w:type="dxa"/>
              <w:right w:w="0"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显示设备</w:t>
            </w:r>
          </w:p>
        </w:tc>
        <w:tc>
          <w:tcPr>
            <w:tcW w:w="3261" w:type="dxa"/>
            <w:vMerge w:val="continue"/>
            <w:shd w:val="clear" w:color="auto" w:fill="FFFFFF"/>
            <w:tcMar>
              <w:top w:w="0" w:type="dxa"/>
              <w:left w:w="0" w:type="dxa"/>
              <w:bottom w:w="0" w:type="dxa"/>
              <w:right w:w="0" w:type="dxa"/>
            </w:tcMar>
            <w:vAlign w:val="center"/>
          </w:tcPr>
          <w:p>
            <w:pPr>
              <w:widowControl/>
              <w:spacing w:line="276" w:lineRule="auto"/>
              <w:jc w:val="left"/>
              <w:rPr>
                <w:rFonts w:ascii="宋体" w:hAnsi="宋体" w:cs="宋体"/>
                <w:color w:val="auto"/>
                <w:w w:val="90"/>
                <w:kern w:val="0"/>
                <w:sz w:val="22"/>
                <w:szCs w:val="22"/>
                <w:highlight w:val="none"/>
              </w:rPr>
            </w:pP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jc w:val="center"/>
        </w:trPr>
        <w:tc>
          <w:tcPr>
            <w:tcW w:w="568" w:type="dxa"/>
            <w:vMerge w:val="continue"/>
            <w:shd w:val="clear" w:color="auto" w:fill="FFFFFF"/>
            <w:tcMar>
              <w:top w:w="0" w:type="dxa"/>
              <w:left w:w="0" w:type="dxa"/>
              <w:bottom w:w="0" w:type="dxa"/>
              <w:right w:w="0" w:type="dxa"/>
            </w:tcMar>
            <w:vAlign w:val="center"/>
          </w:tcPr>
          <w:p>
            <w:pPr>
              <w:widowControl/>
              <w:spacing w:line="276" w:lineRule="auto"/>
              <w:jc w:val="center"/>
              <w:rPr>
                <w:rFonts w:ascii="宋体" w:hAnsi="宋体" w:cs="宋体"/>
                <w:color w:val="auto"/>
                <w:w w:val="90"/>
                <w:kern w:val="0"/>
                <w:sz w:val="22"/>
                <w:szCs w:val="22"/>
                <w:highlight w:val="none"/>
              </w:rPr>
            </w:pPr>
          </w:p>
        </w:tc>
        <w:tc>
          <w:tcPr>
            <w:tcW w:w="1134" w:type="dxa"/>
            <w:vMerge w:val="continue"/>
            <w:shd w:val="clear" w:color="auto" w:fill="FFFFFF"/>
            <w:tcMar>
              <w:top w:w="0" w:type="dxa"/>
              <w:left w:w="0" w:type="dxa"/>
              <w:bottom w:w="0" w:type="dxa"/>
              <w:right w:w="0" w:type="dxa"/>
            </w:tcMar>
            <w:vAlign w:val="center"/>
          </w:tcPr>
          <w:p>
            <w:pPr>
              <w:widowControl/>
              <w:spacing w:line="276" w:lineRule="auto"/>
              <w:jc w:val="center"/>
              <w:rPr>
                <w:rFonts w:ascii="宋体" w:hAnsi="宋体" w:cs="宋体"/>
                <w:color w:val="auto"/>
                <w:w w:val="90"/>
                <w:kern w:val="0"/>
                <w:sz w:val="22"/>
                <w:szCs w:val="22"/>
                <w:highlight w:val="none"/>
              </w:rPr>
            </w:pPr>
          </w:p>
        </w:tc>
        <w:tc>
          <w:tcPr>
            <w:tcW w:w="1347" w:type="dxa"/>
            <w:vMerge w:val="continue"/>
            <w:shd w:val="clear" w:color="auto" w:fill="FFFFFF"/>
            <w:tcMar>
              <w:top w:w="0" w:type="dxa"/>
              <w:left w:w="0" w:type="dxa"/>
              <w:bottom w:w="0" w:type="dxa"/>
              <w:right w:w="0" w:type="dxa"/>
            </w:tcMar>
            <w:vAlign w:val="center"/>
          </w:tcPr>
          <w:p>
            <w:pPr>
              <w:widowControl/>
              <w:spacing w:line="276" w:lineRule="auto"/>
              <w:jc w:val="center"/>
              <w:rPr>
                <w:rFonts w:ascii="宋体" w:hAnsi="宋体" w:cs="宋体"/>
                <w:color w:val="auto"/>
                <w:w w:val="90"/>
                <w:kern w:val="0"/>
                <w:sz w:val="22"/>
                <w:szCs w:val="22"/>
                <w:highlight w:val="none"/>
              </w:rPr>
            </w:pPr>
          </w:p>
        </w:tc>
        <w:tc>
          <w:tcPr>
            <w:tcW w:w="1402"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A02010609</w:t>
            </w:r>
          </w:p>
        </w:tc>
        <w:tc>
          <w:tcPr>
            <w:tcW w:w="2070" w:type="dxa"/>
            <w:shd w:val="clear" w:color="auto" w:fill="FFFFFF"/>
            <w:tcMar>
              <w:top w:w="0" w:type="dxa"/>
              <w:left w:w="0" w:type="dxa"/>
              <w:bottom w:w="0" w:type="dxa"/>
              <w:right w:w="0"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图形图像输入设备</w:t>
            </w:r>
          </w:p>
        </w:tc>
        <w:tc>
          <w:tcPr>
            <w:tcW w:w="3261" w:type="dxa"/>
            <w:vMerge w:val="continue"/>
            <w:shd w:val="clear" w:color="auto" w:fill="FFFFFF"/>
            <w:tcMar>
              <w:top w:w="0" w:type="dxa"/>
              <w:left w:w="0" w:type="dxa"/>
              <w:bottom w:w="0" w:type="dxa"/>
              <w:right w:w="0" w:type="dxa"/>
            </w:tcMar>
            <w:vAlign w:val="center"/>
          </w:tcPr>
          <w:p>
            <w:pPr>
              <w:widowControl/>
              <w:spacing w:line="276" w:lineRule="auto"/>
              <w:jc w:val="left"/>
              <w:rPr>
                <w:rFonts w:ascii="宋体" w:hAnsi="宋体" w:cs="宋体"/>
                <w:color w:val="auto"/>
                <w:w w:val="90"/>
                <w:kern w:val="0"/>
                <w:sz w:val="22"/>
                <w:szCs w:val="22"/>
                <w:highlight w:val="none"/>
              </w:rPr>
            </w:pP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jc w:val="center"/>
        </w:trPr>
        <w:tc>
          <w:tcPr>
            <w:tcW w:w="568"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3</w:t>
            </w:r>
          </w:p>
        </w:tc>
        <w:tc>
          <w:tcPr>
            <w:tcW w:w="1134"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A020202</w:t>
            </w:r>
          </w:p>
        </w:tc>
        <w:tc>
          <w:tcPr>
            <w:tcW w:w="1347"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投影仪</w:t>
            </w:r>
          </w:p>
        </w:tc>
        <w:tc>
          <w:tcPr>
            <w:tcW w:w="1402"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p>
        </w:tc>
        <w:tc>
          <w:tcPr>
            <w:tcW w:w="2070"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p>
        </w:tc>
        <w:tc>
          <w:tcPr>
            <w:tcW w:w="3261" w:type="dxa"/>
            <w:vMerge w:val="continue"/>
            <w:shd w:val="clear" w:color="auto" w:fill="FFFFFF"/>
            <w:tcMar>
              <w:top w:w="0" w:type="dxa"/>
              <w:left w:w="0" w:type="dxa"/>
              <w:bottom w:w="0" w:type="dxa"/>
              <w:right w:w="0" w:type="dxa"/>
            </w:tcMar>
            <w:vAlign w:val="center"/>
          </w:tcPr>
          <w:p>
            <w:pPr>
              <w:widowControl/>
              <w:spacing w:line="276" w:lineRule="auto"/>
              <w:jc w:val="left"/>
              <w:rPr>
                <w:rFonts w:ascii="宋体" w:hAnsi="宋体" w:cs="宋体"/>
                <w:color w:val="auto"/>
                <w:w w:val="90"/>
                <w:kern w:val="0"/>
                <w:sz w:val="22"/>
                <w:szCs w:val="22"/>
                <w:highlight w:val="none"/>
              </w:rPr>
            </w:pP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jc w:val="center"/>
        </w:trPr>
        <w:tc>
          <w:tcPr>
            <w:tcW w:w="568"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4</w:t>
            </w:r>
          </w:p>
        </w:tc>
        <w:tc>
          <w:tcPr>
            <w:tcW w:w="1134"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A020204352</w:t>
            </w:r>
          </w:p>
        </w:tc>
        <w:tc>
          <w:tcPr>
            <w:tcW w:w="1347"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多功能一体机</w:t>
            </w:r>
          </w:p>
        </w:tc>
        <w:tc>
          <w:tcPr>
            <w:tcW w:w="1402"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p>
        </w:tc>
        <w:tc>
          <w:tcPr>
            <w:tcW w:w="2070"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p>
        </w:tc>
        <w:tc>
          <w:tcPr>
            <w:tcW w:w="3261" w:type="dxa"/>
            <w:vMerge w:val="continue"/>
            <w:shd w:val="clear" w:color="auto" w:fill="FFFFFF"/>
            <w:tcMar>
              <w:top w:w="0" w:type="dxa"/>
              <w:left w:w="0" w:type="dxa"/>
              <w:bottom w:w="0" w:type="dxa"/>
              <w:right w:w="0" w:type="dxa"/>
            </w:tcMar>
            <w:vAlign w:val="center"/>
          </w:tcPr>
          <w:p>
            <w:pPr>
              <w:widowControl/>
              <w:spacing w:line="276" w:lineRule="auto"/>
              <w:jc w:val="left"/>
              <w:rPr>
                <w:rFonts w:ascii="宋体" w:hAnsi="宋体" w:cs="宋体"/>
                <w:color w:val="auto"/>
                <w:w w:val="90"/>
                <w:kern w:val="0"/>
                <w:sz w:val="22"/>
                <w:szCs w:val="22"/>
                <w:highlight w:val="none"/>
              </w:rPr>
            </w:pP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jc w:val="center"/>
        </w:trPr>
        <w:tc>
          <w:tcPr>
            <w:tcW w:w="568"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5</w:t>
            </w:r>
          </w:p>
        </w:tc>
        <w:tc>
          <w:tcPr>
            <w:tcW w:w="1134"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A020519</w:t>
            </w:r>
          </w:p>
        </w:tc>
        <w:tc>
          <w:tcPr>
            <w:tcW w:w="1347"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泵</w:t>
            </w:r>
          </w:p>
        </w:tc>
        <w:tc>
          <w:tcPr>
            <w:tcW w:w="1402"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A02051901</w:t>
            </w:r>
          </w:p>
        </w:tc>
        <w:tc>
          <w:tcPr>
            <w:tcW w:w="2070"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离心泵</w:t>
            </w:r>
          </w:p>
        </w:tc>
        <w:tc>
          <w:tcPr>
            <w:tcW w:w="3261" w:type="dxa"/>
            <w:shd w:val="clear" w:color="auto" w:fill="FFFFFF"/>
            <w:tcMar>
              <w:top w:w="0" w:type="dxa"/>
              <w:left w:w="108" w:type="dxa"/>
              <w:bottom w:w="0" w:type="dxa"/>
              <w:right w:w="108" w:type="dxa"/>
            </w:tcMar>
            <w:vAlign w:val="center"/>
          </w:tcPr>
          <w:p>
            <w:pPr>
              <w:widowControl/>
              <w:spacing w:line="276" w:lineRule="auto"/>
              <w:jc w:val="left"/>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中国质量认证中心</w:t>
            </w:r>
          </w:p>
          <w:p>
            <w:pPr>
              <w:widowControl/>
              <w:spacing w:line="276" w:lineRule="auto"/>
              <w:jc w:val="left"/>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电能（北京）认证中心有限公司</w:t>
            </w:r>
          </w:p>
          <w:p>
            <w:pPr>
              <w:widowControl/>
              <w:spacing w:line="276" w:lineRule="auto"/>
              <w:jc w:val="left"/>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方圆标志认证集团有限公司</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jc w:val="center"/>
        </w:trPr>
        <w:tc>
          <w:tcPr>
            <w:tcW w:w="568" w:type="dxa"/>
            <w:vMerge w:val="restart"/>
            <w:shd w:val="clear" w:color="auto" w:fill="FFFFFF"/>
            <w:tcMar>
              <w:top w:w="0" w:type="dxa"/>
              <w:left w:w="108" w:type="dxa"/>
              <w:bottom w:w="0" w:type="dxa"/>
              <w:right w:w="108"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6</w:t>
            </w:r>
          </w:p>
        </w:tc>
        <w:tc>
          <w:tcPr>
            <w:tcW w:w="1134" w:type="dxa"/>
            <w:vMerge w:val="restart"/>
            <w:shd w:val="clear" w:color="auto" w:fill="FFFFFF"/>
            <w:tcMar>
              <w:top w:w="0" w:type="dxa"/>
              <w:left w:w="108" w:type="dxa"/>
              <w:bottom w:w="0" w:type="dxa"/>
              <w:right w:w="108"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A020523</w:t>
            </w:r>
          </w:p>
        </w:tc>
        <w:tc>
          <w:tcPr>
            <w:tcW w:w="1347" w:type="dxa"/>
            <w:vMerge w:val="restart"/>
            <w:shd w:val="clear" w:color="auto" w:fill="FFFFFF"/>
            <w:tcMar>
              <w:top w:w="0" w:type="dxa"/>
              <w:left w:w="108" w:type="dxa"/>
              <w:bottom w:w="0" w:type="dxa"/>
              <w:right w:w="108"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制冷空调设备</w:t>
            </w:r>
          </w:p>
        </w:tc>
        <w:tc>
          <w:tcPr>
            <w:tcW w:w="1402"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A02052301</w:t>
            </w:r>
          </w:p>
        </w:tc>
        <w:tc>
          <w:tcPr>
            <w:tcW w:w="2070"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制冷压缩机</w:t>
            </w:r>
          </w:p>
        </w:tc>
        <w:tc>
          <w:tcPr>
            <w:tcW w:w="3261" w:type="dxa"/>
            <w:vMerge w:val="restart"/>
            <w:shd w:val="clear" w:color="auto" w:fill="FFFFFF"/>
            <w:tcMar>
              <w:top w:w="0" w:type="dxa"/>
              <w:left w:w="108" w:type="dxa"/>
              <w:bottom w:w="0" w:type="dxa"/>
              <w:right w:w="108" w:type="dxa"/>
            </w:tcMar>
            <w:vAlign w:val="center"/>
          </w:tcPr>
          <w:p>
            <w:pPr>
              <w:widowControl/>
              <w:spacing w:line="276" w:lineRule="auto"/>
              <w:jc w:val="left"/>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中国质量认证中心</w:t>
            </w:r>
          </w:p>
          <w:p>
            <w:pPr>
              <w:widowControl/>
              <w:spacing w:line="276" w:lineRule="auto"/>
              <w:jc w:val="left"/>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威凯认证检测有限公司</w:t>
            </w:r>
          </w:p>
          <w:p>
            <w:pPr>
              <w:widowControl/>
              <w:spacing w:line="276" w:lineRule="auto"/>
              <w:jc w:val="left"/>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合肥通用机械产品认证有限公司</w:t>
            </w:r>
          </w:p>
          <w:p>
            <w:pPr>
              <w:widowControl/>
              <w:spacing w:line="276" w:lineRule="auto"/>
              <w:jc w:val="left"/>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北京中冷通质量认证中心有限公司</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jc w:val="center"/>
        </w:trPr>
        <w:tc>
          <w:tcPr>
            <w:tcW w:w="568" w:type="dxa"/>
            <w:vMerge w:val="continue"/>
            <w:shd w:val="clear" w:color="auto" w:fill="FFFFFF"/>
            <w:tcMar>
              <w:top w:w="0" w:type="dxa"/>
              <w:left w:w="0" w:type="dxa"/>
              <w:bottom w:w="0" w:type="dxa"/>
              <w:right w:w="0" w:type="dxa"/>
            </w:tcMar>
            <w:vAlign w:val="center"/>
          </w:tcPr>
          <w:p>
            <w:pPr>
              <w:widowControl/>
              <w:spacing w:line="276" w:lineRule="auto"/>
              <w:jc w:val="center"/>
              <w:rPr>
                <w:rFonts w:ascii="宋体" w:hAnsi="宋体" w:cs="宋体"/>
                <w:color w:val="auto"/>
                <w:w w:val="90"/>
                <w:kern w:val="0"/>
                <w:sz w:val="22"/>
                <w:szCs w:val="22"/>
                <w:highlight w:val="none"/>
              </w:rPr>
            </w:pPr>
          </w:p>
        </w:tc>
        <w:tc>
          <w:tcPr>
            <w:tcW w:w="1134" w:type="dxa"/>
            <w:vMerge w:val="continue"/>
            <w:shd w:val="clear" w:color="auto" w:fill="FFFFFF"/>
            <w:tcMar>
              <w:top w:w="0" w:type="dxa"/>
              <w:left w:w="0" w:type="dxa"/>
              <w:bottom w:w="0" w:type="dxa"/>
              <w:right w:w="0" w:type="dxa"/>
            </w:tcMar>
            <w:vAlign w:val="center"/>
          </w:tcPr>
          <w:p>
            <w:pPr>
              <w:widowControl/>
              <w:spacing w:line="276" w:lineRule="auto"/>
              <w:jc w:val="center"/>
              <w:rPr>
                <w:rFonts w:ascii="宋体" w:hAnsi="宋体" w:cs="宋体"/>
                <w:color w:val="auto"/>
                <w:w w:val="90"/>
                <w:kern w:val="0"/>
                <w:sz w:val="22"/>
                <w:szCs w:val="22"/>
                <w:highlight w:val="none"/>
              </w:rPr>
            </w:pPr>
          </w:p>
        </w:tc>
        <w:tc>
          <w:tcPr>
            <w:tcW w:w="1347" w:type="dxa"/>
            <w:vMerge w:val="continue"/>
            <w:shd w:val="clear" w:color="auto" w:fill="FFFFFF"/>
            <w:tcMar>
              <w:top w:w="0" w:type="dxa"/>
              <w:left w:w="0" w:type="dxa"/>
              <w:bottom w:w="0" w:type="dxa"/>
              <w:right w:w="0" w:type="dxa"/>
            </w:tcMar>
            <w:vAlign w:val="center"/>
          </w:tcPr>
          <w:p>
            <w:pPr>
              <w:widowControl/>
              <w:spacing w:line="276" w:lineRule="auto"/>
              <w:jc w:val="center"/>
              <w:rPr>
                <w:rFonts w:ascii="宋体" w:hAnsi="宋体" w:cs="宋体"/>
                <w:color w:val="auto"/>
                <w:w w:val="90"/>
                <w:kern w:val="0"/>
                <w:sz w:val="22"/>
                <w:szCs w:val="22"/>
                <w:highlight w:val="none"/>
              </w:rPr>
            </w:pPr>
          </w:p>
        </w:tc>
        <w:tc>
          <w:tcPr>
            <w:tcW w:w="1402"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A02052305</w:t>
            </w:r>
          </w:p>
        </w:tc>
        <w:tc>
          <w:tcPr>
            <w:tcW w:w="2070" w:type="dxa"/>
            <w:shd w:val="clear" w:color="auto" w:fill="FFFFFF"/>
            <w:tcMar>
              <w:top w:w="0" w:type="dxa"/>
              <w:left w:w="0" w:type="dxa"/>
              <w:bottom w:w="0" w:type="dxa"/>
              <w:right w:w="0"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空调机组</w:t>
            </w:r>
          </w:p>
        </w:tc>
        <w:tc>
          <w:tcPr>
            <w:tcW w:w="3261" w:type="dxa"/>
            <w:vMerge w:val="continue"/>
            <w:shd w:val="clear" w:color="auto" w:fill="FFFFFF"/>
            <w:tcMar>
              <w:top w:w="0" w:type="dxa"/>
              <w:left w:w="0" w:type="dxa"/>
              <w:bottom w:w="0" w:type="dxa"/>
              <w:right w:w="0" w:type="dxa"/>
            </w:tcMar>
            <w:vAlign w:val="center"/>
          </w:tcPr>
          <w:p>
            <w:pPr>
              <w:widowControl/>
              <w:spacing w:line="276" w:lineRule="auto"/>
              <w:jc w:val="left"/>
              <w:rPr>
                <w:rFonts w:ascii="宋体" w:hAnsi="宋体" w:cs="宋体"/>
                <w:color w:val="auto"/>
                <w:w w:val="90"/>
                <w:kern w:val="0"/>
                <w:sz w:val="22"/>
                <w:szCs w:val="22"/>
                <w:highlight w:val="none"/>
              </w:rPr>
            </w:pP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jc w:val="center"/>
        </w:trPr>
        <w:tc>
          <w:tcPr>
            <w:tcW w:w="568" w:type="dxa"/>
            <w:vMerge w:val="continue"/>
            <w:shd w:val="clear" w:color="auto" w:fill="FFFFFF"/>
            <w:tcMar>
              <w:top w:w="0" w:type="dxa"/>
              <w:left w:w="0" w:type="dxa"/>
              <w:bottom w:w="0" w:type="dxa"/>
              <w:right w:w="0" w:type="dxa"/>
            </w:tcMar>
            <w:vAlign w:val="center"/>
          </w:tcPr>
          <w:p>
            <w:pPr>
              <w:widowControl/>
              <w:spacing w:line="276" w:lineRule="auto"/>
              <w:jc w:val="center"/>
              <w:rPr>
                <w:rFonts w:ascii="宋体" w:hAnsi="宋体" w:cs="宋体"/>
                <w:color w:val="auto"/>
                <w:w w:val="90"/>
                <w:kern w:val="0"/>
                <w:sz w:val="22"/>
                <w:szCs w:val="22"/>
                <w:highlight w:val="none"/>
              </w:rPr>
            </w:pPr>
          </w:p>
        </w:tc>
        <w:tc>
          <w:tcPr>
            <w:tcW w:w="1134" w:type="dxa"/>
            <w:vMerge w:val="continue"/>
            <w:shd w:val="clear" w:color="auto" w:fill="FFFFFF"/>
            <w:tcMar>
              <w:top w:w="0" w:type="dxa"/>
              <w:left w:w="0" w:type="dxa"/>
              <w:bottom w:w="0" w:type="dxa"/>
              <w:right w:w="0" w:type="dxa"/>
            </w:tcMar>
            <w:vAlign w:val="center"/>
          </w:tcPr>
          <w:p>
            <w:pPr>
              <w:widowControl/>
              <w:spacing w:line="276" w:lineRule="auto"/>
              <w:jc w:val="center"/>
              <w:rPr>
                <w:rFonts w:ascii="宋体" w:hAnsi="宋体" w:cs="宋体"/>
                <w:color w:val="auto"/>
                <w:w w:val="90"/>
                <w:kern w:val="0"/>
                <w:sz w:val="22"/>
                <w:szCs w:val="22"/>
                <w:highlight w:val="none"/>
              </w:rPr>
            </w:pPr>
          </w:p>
        </w:tc>
        <w:tc>
          <w:tcPr>
            <w:tcW w:w="1347" w:type="dxa"/>
            <w:vMerge w:val="continue"/>
            <w:shd w:val="clear" w:color="auto" w:fill="FFFFFF"/>
            <w:tcMar>
              <w:top w:w="0" w:type="dxa"/>
              <w:left w:w="0" w:type="dxa"/>
              <w:bottom w:w="0" w:type="dxa"/>
              <w:right w:w="0" w:type="dxa"/>
            </w:tcMar>
            <w:vAlign w:val="center"/>
          </w:tcPr>
          <w:p>
            <w:pPr>
              <w:widowControl/>
              <w:spacing w:line="276" w:lineRule="auto"/>
              <w:jc w:val="center"/>
              <w:rPr>
                <w:rFonts w:ascii="宋体" w:hAnsi="宋体" w:cs="宋体"/>
                <w:color w:val="auto"/>
                <w:w w:val="90"/>
                <w:kern w:val="0"/>
                <w:sz w:val="22"/>
                <w:szCs w:val="22"/>
                <w:highlight w:val="none"/>
              </w:rPr>
            </w:pPr>
          </w:p>
        </w:tc>
        <w:tc>
          <w:tcPr>
            <w:tcW w:w="1402"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A02052309</w:t>
            </w:r>
          </w:p>
        </w:tc>
        <w:tc>
          <w:tcPr>
            <w:tcW w:w="2070" w:type="dxa"/>
            <w:shd w:val="clear" w:color="auto" w:fill="FFFFFF"/>
            <w:tcMar>
              <w:top w:w="0" w:type="dxa"/>
              <w:left w:w="0" w:type="dxa"/>
              <w:bottom w:w="0" w:type="dxa"/>
              <w:right w:w="0"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专用制冷、空调设备</w:t>
            </w:r>
          </w:p>
        </w:tc>
        <w:tc>
          <w:tcPr>
            <w:tcW w:w="3261" w:type="dxa"/>
            <w:vMerge w:val="continue"/>
            <w:shd w:val="clear" w:color="auto" w:fill="FFFFFF"/>
            <w:tcMar>
              <w:top w:w="0" w:type="dxa"/>
              <w:left w:w="0" w:type="dxa"/>
              <w:bottom w:w="0" w:type="dxa"/>
              <w:right w:w="0" w:type="dxa"/>
            </w:tcMar>
            <w:vAlign w:val="center"/>
          </w:tcPr>
          <w:p>
            <w:pPr>
              <w:widowControl/>
              <w:spacing w:line="276" w:lineRule="auto"/>
              <w:jc w:val="left"/>
              <w:rPr>
                <w:rFonts w:ascii="宋体" w:hAnsi="宋体" w:cs="宋体"/>
                <w:color w:val="auto"/>
                <w:w w:val="90"/>
                <w:kern w:val="0"/>
                <w:sz w:val="22"/>
                <w:szCs w:val="22"/>
                <w:highlight w:val="none"/>
              </w:rPr>
            </w:pP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jc w:val="center"/>
        </w:trPr>
        <w:tc>
          <w:tcPr>
            <w:tcW w:w="568" w:type="dxa"/>
            <w:vMerge w:val="continue"/>
            <w:shd w:val="clear" w:color="auto" w:fill="FFFFFF"/>
            <w:tcMar>
              <w:top w:w="0" w:type="dxa"/>
              <w:left w:w="0" w:type="dxa"/>
              <w:bottom w:w="0" w:type="dxa"/>
              <w:right w:w="0" w:type="dxa"/>
            </w:tcMar>
            <w:vAlign w:val="center"/>
          </w:tcPr>
          <w:p>
            <w:pPr>
              <w:widowControl/>
              <w:spacing w:line="276" w:lineRule="auto"/>
              <w:jc w:val="center"/>
              <w:rPr>
                <w:rFonts w:ascii="宋体" w:hAnsi="宋体" w:cs="宋体"/>
                <w:color w:val="auto"/>
                <w:w w:val="90"/>
                <w:kern w:val="0"/>
                <w:sz w:val="22"/>
                <w:szCs w:val="22"/>
                <w:highlight w:val="none"/>
              </w:rPr>
            </w:pPr>
          </w:p>
        </w:tc>
        <w:tc>
          <w:tcPr>
            <w:tcW w:w="1134" w:type="dxa"/>
            <w:vMerge w:val="continue"/>
            <w:shd w:val="clear" w:color="auto" w:fill="FFFFFF"/>
            <w:tcMar>
              <w:top w:w="0" w:type="dxa"/>
              <w:left w:w="0" w:type="dxa"/>
              <w:bottom w:w="0" w:type="dxa"/>
              <w:right w:w="0" w:type="dxa"/>
            </w:tcMar>
            <w:vAlign w:val="center"/>
          </w:tcPr>
          <w:p>
            <w:pPr>
              <w:widowControl/>
              <w:spacing w:line="276" w:lineRule="auto"/>
              <w:jc w:val="center"/>
              <w:rPr>
                <w:rFonts w:ascii="宋体" w:hAnsi="宋体" w:cs="宋体"/>
                <w:color w:val="auto"/>
                <w:w w:val="90"/>
                <w:kern w:val="0"/>
                <w:sz w:val="22"/>
                <w:szCs w:val="22"/>
                <w:highlight w:val="none"/>
              </w:rPr>
            </w:pPr>
          </w:p>
        </w:tc>
        <w:tc>
          <w:tcPr>
            <w:tcW w:w="1347" w:type="dxa"/>
            <w:vMerge w:val="continue"/>
            <w:shd w:val="clear" w:color="auto" w:fill="FFFFFF"/>
            <w:tcMar>
              <w:top w:w="0" w:type="dxa"/>
              <w:left w:w="0" w:type="dxa"/>
              <w:bottom w:w="0" w:type="dxa"/>
              <w:right w:w="0" w:type="dxa"/>
            </w:tcMar>
            <w:vAlign w:val="center"/>
          </w:tcPr>
          <w:p>
            <w:pPr>
              <w:widowControl/>
              <w:spacing w:line="276" w:lineRule="auto"/>
              <w:jc w:val="center"/>
              <w:rPr>
                <w:rFonts w:ascii="宋体" w:hAnsi="宋体" w:cs="宋体"/>
                <w:color w:val="auto"/>
                <w:w w:val="90"/>
                <w:kern w:val="0"/>
                <w:sz w:val="22"/>
                <w:szCs w:val="22"/>
                <w:highlight w:val="none"/>
              </w:rPr>
            </w:pPr>
          </w:p>
        </w:tc>
        <w:tc>
          <w:tcPr>
            <w:tcW w:w="1402"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A02052399</w:t>
            </w:r>
          </w:p>
        </w:tc>
        <w:tc>
          <w:tcPr>
            <w:tcW w:w="2070" w:type="dxa"/>
            <w:shd w:val="clear" w:color="auto" w:fill="FFFFFF"/>
            <w:tcMar>
              <w:top w:w="0" w:type="dxa"/>
              <w:left w:w="0" w:type="dxa"/>
              <w:bottom w:w="0" w:type="dxa"/>
              <w:right w:w="0"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其他制冷空调设备</w:t>
            </w:r>
          </w:p>
        </w:tc>
        <w:tc>
          <w:tcPr>
            <w:tcW w:w="3261" w:type="dxa"/>
            <w:vMerge w:val="continue"/>
            <w:shd w:val="clear" w:color="auto" w:fill="FFFFFF"/>
            <w:tcMar>
              <w:top w:w="0" w:type="dxa"/>
              <w:left w:w="0" w:type="dxa"/>
              <w:bottom w:w="0" w:type="dxa"/>
              <w:right w:w="0" w:type="dxa"/>
            </w:tcMar>
            <w:vAlign w:val="center"/>
          </w:tcPr>
          <w:p>
            <w:pPr>
              <w:widowControl/>
              <w:spacing w:line="276" w:lineRule="auto"/>
              <w:jc w:val="left"/>
              <w:rPr>
                <w:rFonts w:ascii="宋体" w:hAnsi="宋体" w:cs="宋体"/>
                <w:color w:val="auto"/>
                <w:w w:val="90"/>
                <w:kern w:val="0"/>
                <w:sz w:val="22"/>
                <w:szCs w:val="22"/>
                <w:highlight w:val="none"/>
              </w:rPr>
            </w:pP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jc w:val="center"/>
        </w:trPr>
        <w:tc>
          <w:tcPr>
            <w:tcW w:w="568"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7</w:t>
            </w:r>
          </w:p>
        </w:tc>
        <w:tc>
          <w:tcPr>
            <w:tcW w:w="1134"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A020601</w:t>
            </w:r>
          </w:p>
        </w:tc>
        <w:tc>
          <w:tcPr>
            <w:tcW w:w="1347"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电机</w:t>
            </w:r>
          </w:p>
        </w:tc>
        <w:tc>
          <w:tcPr>
            <w:tcW w:w="1402"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p>
        </w:tc>
        <w:tc>
          <w:tcPr>
            <w:tcW w:w="2070"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p>
        </w:tc>
        <w:tc>
          <w:tcPr>
            <w:tcW w:w="3261" w:type="dxa"/>
            <w:shd w:val="clear" w:color="auto" w:fill="FFFFFF"/>
            <w:tcMar>
              <w:top w:w="0" w:type="dxa"/>
              <w:left w:w="108" w:type="dxa"/>
              <w:bottom w:w="0" w:type="dxa"/>
              <w:right w:w="108" w:type="dxa"/>
            </w:tcMar>
            <w:vAlign w:val="center"/>
          </w:tcPr>
          <w:p>
            <w:pPr>
              <w:widowControl/>
              <w:spacing w:line="276" w:lineRule="auto"/>
              <w:jc w:val="left"/>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中国质量认证中心</w:t>
            </w:r>
          </w:p>
          <w:p>
            <w:pPr>
              <w:widowControl/>
              <w:spacing w:line="276" w:lineRule="auto"/>
              <w:jc w:val="left"/>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威凯认证检测有限公司</w:t>
            </w:r>
          </w:p>
          <w:p>
            <w:pPr>
              <w:widowControl/>
              <w:spacing w:line="276" w:lineRule="auto"/>
              <w:jc w:val="left"/>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电能（北京）认证中心有限公司</w:t>
            </w:r>
          </w:p>
          <w:p>
            <w:pPr>
              <w:widowControl/>
              <w:spacing w:line="276" w:lineRule="auto"/>
              <w:jc w:val="left"/>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中国船级社质量认证公司</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jc w:val="center"/>
        </w:trPr>
        <w:tc>
          <w:tcPr>
            <w:tcW w:w="568"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8</w:t>
            </w:r>
          </w:p>
        </w:tc>
        <w:tc>
          <w:tcPr>
            <w:tcW w:w="1134"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A020602</w:t>
            </w:r>
          </w:p>
        </w:tc>
        <w:tc>
          <w:tcPr>
            <w:tcW w:w="1347"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变压器</w:t>
            </w:r>
          </w:p>
        </w:tc>
        <w:tc>
          <w:tcPr>
            <w:tcW w:w="1402"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p>
        </w:tc>
        <w:tc>
          <w:tcPr>
            <w:tcW w:w="2070"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p>
        </w:tc>
        <w:tc>
          <w:tcPr>
            <w:tcW w:w="3261" w:type="dxa"/>
            <w:shd w:val="clear" w:color="auto" w:fill="FFFFFF"/>
            <w:tcMar>
              <w:top w:w="0" w:type="dxa"/>
              <w:left w:w="108" w:type="dxa"/>
              <w:bottom w:w="0" w:type="dxa"/>
              <w:right w:w="108" w:type="dxa"/>
            </w:tcMar>
            <w:vAlign w:val="center"/>
          </w:tcPr>
          <w:p>
            <w:pPr>
              <w:widowControl/>
              <w:spacing w:line="276" w:lineRule="auto"/>
              <w:jc w:val="left"/>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中国质量认证中心</w:t>
            </w:r>
          </w:p>
          <w:p>
            <w:pPr>
              <w:widowControl/>
              <w:spacing w:line="276" w:lineRule="auto"/>
              <w:jc w:val="left"/>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电能（北京）认证中心有限公司</w:t>
            </w:r>
          </w:p>
          <w:p>
            <w:pPr>
              <w:widowControl/>
              <w:spacing w:line="276" w:lineRule="auto"/>
              <w:jc w:val="left"/>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方圆标志认证集团有限公司</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jc w:val="center"/>
        </w:trPr>
        <w:tc>
          <w:tcPr>
            <w:tcW w:w="568"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9</w:t>
            </w:r>
          </w:p>
        </w:tc>
        <w:tc>
          <w:tcPr>
            <w:tcW w:w="1134"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A020609</w:t>
            </w:r>
          </w:p>
        </w:tc>
        <w:tc>
          <w:tcPr>
            <w:tcW w:w="1347"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镇流器</w:t>
            </w:r>
          </w:p>
        </w:tc>
        <w:tc>
          <w:tcPr>
            <w:tcW w:w="1402"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p>
        </w:tc>
        <w:tc>
          <w:tcPr>
            <w:tcW w:w="2070"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p>
        </w:tc>
        <w:tc>
          <w:tcPr>
            <w:tcW w:w="3261" w:type="dxa"/>
            <w:shd w:val="clear" w:color="auto" w:fill="FFFFFF"/>
            <w:tcMar>
              <w:top w:w="0" w:type="dxa"/>
              <w:left w:w="108" w:type="dxa"/>
              <w:bottom w:w="0" w:type="dxa"/>
              <w:right w:w="108" w:type="dxa"/>
            </w:tcMar>
            <w:vAlign w:val="center"/>
          </w:tcPr>
          <w:p>
            <w:pPr>
              <w:widowControl/>
              <w:spacing w:line="276" w:lineRule="auto"/>
              <w:jc w:val="left"/>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中国质量认证中心</w:t>
            </w:r>
          </w:p>
          <w:p>
            <w:pPr>
              <w:widowControl/>
              <w:spacing w:line="276" w:lineRule="auto"/>
              <w:jc w:val="left"/>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深圳市计量质量检测研究院</w:t>
            </w:r>
          </w:p>
          <w:p>
            <w:pPr>
              <w:widowControl/>
              <w:spacing w:line="276" w:lineRule="auto"/>
              <w:jc w:val="left"/>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中标合信（北京）认证有限公司</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jc w:val="center"/>
        </w:trPr>
        <w:tc>
          <w:tcPr>
            <w:tcW w:w="568" w:type="dxa"/>
            <w:vMerge w:val="restart"/>
            <w:shd w:val="clear" w:color="auto" w:fill="FFFFFF"/>
            <w:tcMar>
              <w:top w:w="0" w:type="dxa"/>
              <w:left w:w="108" w:type="dxa"/>
              <w:bottom w:w="0" w:type="dxa"/>
              <w:right w:w="108"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10</w:t>
            </w:r>
          </w:p>
        </w:tc>
        <w:tc>
          <w:tcPr>
            <w:tcW w:w="1134" w:type="dxa"/>
            <w:vMerge w:val="restart"/>
            <w:shd w:val="clear" w:color="auto" w:fill="FFFFFF"/>
            <w:tcMar>
              <w:top w:w="0" w:type="dxa"/>
              <w:left w:w="108" w:type="dxa"/>
              <w:bottom w:w="0" w:type="dxa"/>
              <w:right w:w="108"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A020618</w:t>
            </w:r>
          </w:p>
        </w:tc>
        <w:tc>
          <w:tcPr>
            <w:tcW w:w="1347" w:type="dxa"/>
            <w:vMerge w:val="restart"/>
            <w:shd w:val="clear" w:color="auto" w:fill="FFFFFF"/>
            <w:tcMar>
              <w:top w:w="0" w:type="dxa"/>
              <w:left w:w="108" w:type="dxa"/>
              <w:bottom w:w="0" w:type="dxa"/>
              <w:right w:w="108"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生活用电器</w:t>
            </w:r>
          </w:p>
        </w:tc>
        <w:tc>
          <w:tcPr>
            <w:tcW w:w="1402"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A0206180101</w:t>
            </w:r>
          </w:p>
        </w:tc>
        <w:tc>
          <w:tcPr>
            <w:tcW w:w="2070"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电冰箱</w:t>
            </w:r>
          </w:p>
        </w:tc>
        <w:tc>
          <w:tcPr>
            <w:tcW w:w="3261" w:type="dxa"/>
            <w:shd w:val="clear" w:color="auto" w:fill="FFFFFF"/>
            <w:tcMar>
              <w:top w:w="0" w:type="dxa"/>
              <w:left w:w="108" w:type="dxa"/>
              <w:bottom w:w="0" w:type="dxa"/>
              <w:right w:w="108" w:type="dxa"/>
            </w:tcMar>
            <w:vAlign w:val="center"/>
          </w:tcPr>
          <w:p>
            <w:pPr>
              <w:widowControl/>
              <w:spacing w:line="276" w:lineRule="auto"/>
              <w:jc w:val="left"/>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中国质量认证中心</w:t>
            </w:r>
          </w:p>
          <w:p>
            <w:pPr>
              <w:widowControl/>
              <w:spacing w:line="276" w:lineRule="auto"/>
              <w:jc w:val="left"/>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威凯认证检测有限公司</w:t>
            </w:r>
          </w:p>
          <w:p>
            <w:pPr>
              <w:widowControl/>
              <w:spacing w:line="276" w:lineRule="auto"/>
              <w:jc w:val="left"/>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中家院（北京）检测认证有限公司</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jc w:val="center"/>
        </w:trPr>
        <w:tc>
          <w:tcPr>
            <w:tcW w:w="568" w:type="dxa"/>
            <w:vMerge w:val="continue"/>
            <w:shd w:val="clear" w:color="auto" w:fill="FFFFFF"/>
            <w:tcMar>
              <w:top w:w="0" w:type="dxa"/>
              <w:left w:w="0" w:type="dxa"/>
              <w:bottom w:w="0" w:type="dxa"/>
              <w:right w:w="0" w:type="dxa"/>
            </w:tcMar>
            <w:vAlign w:val="center"/>
          </w:tcPr>
          <w:p>
            <w:pPr>
              <w:widowControl/>
              <w:spacing w:line="276" w:lineRule="auto"/>
              <w:jc w:val="center"/>
              <w:rPr>
                <w:rFonts w:ascii="宋体" w:hAnsi="宋体" w:cs="宋体"/>
                <w:color w:val="auto"/>
                <w:w w:val="90"/>
                <w:kern w:val="0"/>
                <w:sz w:val="22"/>
                <w:szCs w:val="22"/>
                <w:highlight w:val="none"/>
              </w:rPr>
            </w:pPr>
          </w:p>
        </w:tc>
        <w:tc>
          <w:tcPr>
            <w:tcW w:w="1134" w:type="dxa"/>
            <w:vMerge w:val="continue"/>
            <w:shd w:val="clear" w:color="auto" w:fill="FFFFFF"/>
            <w:tcMar>
              <w:top w:w="0" w:type="dxa"/>
              <w:left w:w="0" w:type="dxa"/>
              <w:bottom w:w="0" w:type="dxa"/>
              <w:right w:w="0" w:type="dxa"/>
            </w:tcMar>
            <w:vAlign w:val="center"/>
          </w:tcPr>
          <w:p>
            <w:pPr>
              <w:widowControl/>
              <w:spacing w:line="276" w:lineRule="auto"/>
              <w:jc w:val="center"/>
              <w:rPr>
                <w:rFonts w:ascii="宋体" w:hAnsi="宋体" w:cs="宋体"/>
                <w:color w:val="auto"/>
                <w:w w:val="90"/>
                <w:kern w:val="0"/>
                <w:sz w:val="22"/>
                <w:szCs w:val="22"/>
                <w:highlight w:val="none"/>
              </w:rPr>
            </w:pPr>
          </w:p>
        </w:tc>
        <w:tc>
          <w:tcPr>
            <w:tcW w:w="1347" w:type="dxa"/>
            <w:vMerge w:val="continue"/>
            <w:shd w:val="clear" w:color="auto" w:fill="FFFFFF"/>
            <w:tcMar>
              <w:top w:w="0" w:type="dxa"/>
              <w:left w:w="0" w:type="dxa"/>
              <w:bottom w:w="0" w:type="dxa"/>
              <w:right w:w="0" w:type="dxa"/>
            </w:tcMar>
            <w:vAlign w:val="center"/>
          </w:tcPr>
          <w:p>
            <w:pPr>
              <w:widowControl/>
              <w:spacing w:line="276" w:lineRule="auto"/>
              <w:jc w:val="center"/>
              <w:rPr>
                <w:rFonts w:ascii="宋体" w:hAnsi="宋体" w:cs="宋体"/>
                <w:color w:val="auto"/>
                <w:w w:val="90"/>
                <w:kern w:val="0"/>
                <w:sz w:val="22"/>
                <w:szCs w:val="22"/>
                <w:highlight w:val="none"/>
              </w:rPr>
            </w:pPr>
          </w:p>
        </w:tc>
        <w:tc>
          <w:tcPr>
            <w:tcW w:w="1402"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A0206180203</w:t>
            </w:r>
          </w:p>
        </w:tc>
        <w:tc>
          <w:tcPr>
            <w:tcW w:w="2070" w:type="dxa"/>
            <w:shd w:val="clear" w:color="auto" w:fill="FFFFFF"/>
            <w:tcMar>
              <w:top w:w="0" w:type="dxa"/>
              <w:left w:w="0" w:type="dxa"/>
              <w:bottom w:w="0" w:type="dxa"/>
              <w:right w:w="0"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空调机</w:t>
            </w:r>
          </w:p>
        </w:tc>
        <w:tc>
          <w:tcPr>
            <w:tcW w:w="3261" w:type="dxa"/>
            <w:shd w:val="clear" w:color="auto" w:fill="FFFFFF"/>
            <w:tcMar>
              <w:top w:w="0" w:type="dxa"/>
              <w:left w:w="0" w:type="dxa"/>
              <w:bottom w:w="0" w:type="dxa"/>
              <w:right w:w="0" w:type="dxa"/>
            </w:tcMar>
            <w:vAlign w:val="center"/>
          </w:tcPr>
          <w:p>
            <w:pPr>
              <w:widowControl/>
              <w:spacing w:line="276" w:lineRule="auto"/>
              <w:jc w:val="left"/>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中国质量认证中心</w:t>
            </w:r>
          </w:p>
          <w:p>
            <w:pPr>
              <w:widowControl/>
              <w:spacing w:line="276" w:lineRule="auto"/>
              <w:jc w:val="left"/>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威凯认证检测有限公司</w:t>
            </w:r>
          </w:p>
          <w:p>
            <w:pPr>
              <w:widowControl/>
              <w:spacing w:line="276" w:lineRule="auto"/>
              <w:jc w:val="left"/>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中家院（北京）检测认证有限公司</w:t>
            </w:r>
          </w:p>
          <w:p>
            <w:pPr>
              <w:widowControl/>
              <w:spacing w:line="276" w:lineRule="auto"/>
              <w:jc w:val="left"/>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合肥通用机械产品认证有限公司</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jc w:val="center"/>
        </w:trPr>
        <w:tc>
          <w:tcPr>
            <w:tcW w:w="568" w:type="dxa"/>
            <w:vMerge w:val="continue"/>
            <w:shd w:val="clear" w:color="auto" w:fill="FFFFFF"/>
            <w:tcMar>
              <w:top w:w="0" w:type="dxa"/>
              <w:left w:w="0" w:type="dxa"/>
              <w:bottom w:w="0" w:type="dxa"/>
              <w:right w:w="0" w:type="dxa"/>
            </w:tcMar>
            <w:vAlign w:val="center"/>
          </w:tcPr>
          <w:p>
            <w:pPr>
              <w:widowControl/>
              <w:spacing w:line="276" w:lineRule="auto"/>
              <w:jc w:val="center"/>
              <w:rPr>
                <w:rFonts w:ascii="宋体" w:hAnsi="宋体" w:cs="宋体"/>
                <w:color w:val="auto"/>
                <w:w w:val="90"/>
                <w:kern w:val="0"/>
                <w:sz w:val="22"/>
                <w:szCs w:val="22"/>
                <w:highlight w:val="none"/>
              </w:rPr>
            </w:pPr>
          </w:p>
        </w:tc>
        <w:tc>
          <w:tcPr>
            <w:tcW w:w="1134" w:type="dxa"/>
            <w:vMerge w:val="continue"/>
            <w:shd w:val="clear" w:color="auto" w:fill="FFFFFF"/>
            <w:tcMar>
              <w:top w:w="0" w:type="dxa"/>
              <w:left w:w="0" w:type="dxa"/>
              <w:bottom w:w="0" w:type="dxa"/>
              <w:right w:w="0" w:type="dxa"/>
            </w:tcMar>
            <w:vAlign w:val="center"/>
          </w:tcPr>
          <w:p>
            <w:pPr>
              <w:widowControl/>
              <w:spacing w:line="276" w:lineRule="auto"/>
              <w:jc w:val="center"/>
              <w:rPr>
                <w:rFonts w:ascii="宋体" w:hAnsi="宋体" w:cs="宋体"/>
                <w:color w:val="auto"/>
                <w:w w:val="90"/>
                <w:kern w:val="0"/>
                <w:sz w:val="22"/>
                <w:szCs w:val="22"/>
                <w:highlight w:val="none"/>
              </w:rPr>
            </w:pPr>
          </w:p>
        </w:tc>
        <w:tc>
          <w:tcPr>
            <w:tcW w:w="1347" w:type="dxa"/>
            <w:vMerge w:val="continue"/>
            <w:shd w:val="clear" w:color="auto" w:fill="FFFFFF"/>
            <w:tcMar>
              <w:top w:w="0" w:type="dxa"/>
              <w:left w:w="0" w:type="dxa"/>
              <w:bottom w:w="0" w:type="dxa"/>
              <w:right w:w="0" w:type="dxa"/>
            </w:tcMar>
            <w:vAlign w:val="center"/>
          </w:tcPr>
          <w:p>
            <w:pPr>
              <w:widowControl/>
              <w:spacing w:line="276" w:lineRule="auto"/>
              <w:jc w:val="center"/>
              <w:rPr>
                <w:rFonts w:ascii="宋体" w:hAnsi="宋体" w:cs="宋体"/>
                <w:color w:val="auto"/>
                <w:w w:val="90"/>
                <w:kern w:val="0"/>
                <w:sz w:val="22"/>
                <w:szCs w:val="22"/>
                <w:highlight w:val="none"/>
              </w:rPr>
            </w:pPr>
          </w:p>
        </w:tc>
        <w:tc>
          <w:tcPr>
            <w:tcW w:w="1402"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A0206180301</w:t>
            </w:r>
          </w:p>
        </w:tc>
        <w:tc>
          <w:tcPr>
            <w:tcW w:w="2070" w:type="dxa"/>
            <w:shd w:val="clear" w:color="auto" w:fill="FFFFFF"/>
            <w:tcMar>
              <w:top w:w="0" w:type="dxa"/>
              <w:left w:w="0" w:type="dxa"/>
              <w:bottom w:w="0" w:type="dxa"/>
              <w:right w:w="0"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洗衣机</w:t>
            </w:r>
          </w:p>
        </w:tc>
        <w:tc>
          <w:tcPr>
            <w:tcW w:w="3261" w:type="dxa"/>
            <w:shd w:val="clear" w:color="auto" w:fill="FFFFFF"/>
            <w:tcMar>
              <w:top w:w="0" w:type="dxa"/>
              <w:left w:w="0" w:type="dxa"/>
              <w:bottom w:w="0" w:type="dxa"/>
              <w:right w:w="0" w:type="dxa"/>
            </w:tcMar>
            <w:vAlign w:val="center"/>
          </w:tcPr>
          <w:p>
            <w:pPr>
              <w:widowControl/>
              <w:spacing w:line="276" w:lineRule="auto"/>
              <w:jc w:val="left"/>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中国质量认证中心</w:t>
            </w:r>
          </w:p>
          <w:p>
            <w:pPr>
              <w:widowControl/>
              <w:spacing w:line="276" w:lineRule="auto"/>
              <w:jc w:val="left"/>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威凯认证检测有限公司</w:t>
            </w:r>
          </w:p>
          <w:p>
            <w:pPr>
              <w:widowControl/>
              <w:spacing w:line="276" w:lineRule="auto"/>
              <w:jc w:val="left"/>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中家院（北京）检测认证有限公司</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jc w:val="center"/>
        </w:trPr>
        <w:tc>
          <w:tcPr>
            <w:tcW w:w="568" w:type="dxa"/>
            <w:vMerge w:val="continue"/>
            <w:shd w:val="clear" w:color="auto" w:fill="FFFFFF"/>
            <w:tcMar>
              <w:top w:w="0" w:type="dxa"/>
              <w:left w:w="0" w:type="dxa"/>
              <w:bottom w:w="0" w:type="dxa"/>
              <w:right w:w="0" w:type="dxa"/>
            </w:tcMar>
            <w:vAlign w:val="center"/>
          </w:tcPr>
          <w:p>
            <w:pPr>
              <w:widowControl/>
              <w:spacing w:line="276" w:lineRule="auto"/>
              <w:jc w:val="center"/>
              <w:rPr>
                <w:rFonts w:ascii="宋体" w:hAnsi="宋体" w:cs="宋体"/>
                <w:color w:val="auto"/>
                <w:w w:val="90"/>
                <w:kern w:val="0"/>
                <w:sz w:val="22"/>
                <w:szCs w:val="22"/>
                <w:highlight w:val="none"/>
              </w:rPr>
            </w:pPr>
          </w:p>
        </w:tc>
        <w:tc>
          <w:tcPr>
            <w:tcW w:w="1134" w:type="dxa"/>
            <w:vMerge w:val="continue"/>
            <w:shd w:val="clear" w:color="auto" w:fill="FFFFFF"/>
            <w:tcMar>
              <w:top w:w="0" w:type="dxa"/>
              <w:left w:w="0" w:type="dxa"/>
              <w:bottom w:w="0" w:type="dxa"/>
              <w:right w:w="0" w:type="dxa"/>
            </w:tcMar>
            <w:vAlign w:val="center"/>
          </w:tcPr>
          <w:p>
            <w:pPr>
              <w:widowControl/>
              <w:spacing w:line="276" w:lineRule="auto"/>
              <w:jc w:val="center"/>
              <w:rPr>
                <w:rFonts w:ascii="宋体" w:hAnsi="宋体" w:cs="宋体"/>
                <w:color w:val="auto"/>
                <w:w w:val="90"/>
                <w:kern w:val="0"/>
                <w:sz w:val="22"/>
                <w:szCs w:val="22"/>
                <w:highlight w:val="none"/>
              </w:rPr>
            </w:pPr>
          </w:p>
        </w:tc>
        <w:tc>
          <w:tcPr>
            <w:tcW w:w="1347" w:type="dxa"/>
            <w:vMerge w:val="continue"/>
            <w:shd w:val="clear" w:color="auto" w:fill="FFFFFF"/>
            <w:tcMar>
              <w:top w:w="0" w:type="dxa"/>
              <w:left w:w="0" w:type="dxa"/>
              <w:bottom w:w="0" w:type="dxa"/>
              <w:right w:w="0" w:type="dxa"/>
            </w:tcMar>
            <w:vAlign w:val="center"/>
          </w:tcPr>
          <w:p>
            <w:pPr>
              <w:widowControl/>
              <w:spacing w:line="276" w:lineRule="auto"/>
              <w:jc w:val="center"/>
              <w:rPr>
                <w:rFonts w:ascii="宋体" w:hAnsi="宋体" w:cs="宋体"/>
                <w:color w:val="auto"/>
                <w:w w:val="90"/>
                <w:kern w:val="0"/>
                <w:sz w:val="22"/>
                <w:szCs w:val="22"/>
                <w:highlight w:val="none"/>
              </w:rPr>
            </w:pPr>
          </w:p>
        </w:tc>
        <w:tc>
          <w:tcPr>
            <w:tcW w:w="1402"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A02061808</w:t>
            </w:r>
          </w:p>
        </w:tc>
        <w:tc>
          <w:tcPr>
            <w:tcW w:w="2070" w:type="dxa"/>
            <w:shd w:val="clear" w:color="auto" w:fill="FFFFFF"/>
            <w:tcMar>
              <w:top w:w="0" w:type="dxa"/>
              <w:left w:w="0" w:type="dxa"/>
              <w:bottom w:w="0" w:type="dxa"/>
              <w:right w:w="0"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热水器</w:t>
            </w:r>
          </w:p>
        </w:tc>
        <w:tc>
          <w:tcPr>
            <w:tcW w:w="3261" w:type="dxa"/>
            <w:shd w:val="clear" w:color="auto" w:fill="FFFFFF"/>
            <w:tcMar>
              <w:top w:w="0" w:type="dxa"/>
              <w:left w:w="0" w:type="dxa"/>
              <w:bottom w:w="0" w:type="dxa"/>
              <w:right w:w="0" w:type="dxa"/>
            </w:tcMar>
            <w:vAlign w:val="center"/>
          </w:tcPr>
          <w:p>
            <w:pPr>
              <w:widowControl/>
              <w:spacing w:line="276" w:lineRule="auto"/>
              <w:jc w:val="left"/>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中国质量认证中心</w:t>
            </w:r>
          </w:p>
          <w:p>
            <w:pPr>
              <w:widowControl/>
              <w:spacing w:line="276" w:lineRule="auto"/>
              <w:jc w:val="left"/>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威凯认证检测有限公司</w:t>
            </w:r>
          </w:p>
          <w:p>
            <w:pPr>
              <w:widowControl/>
              <w:spacing w:line="276" w:lineRule="auto"/>
              <w:jc w:val="left"/>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中家院（北京）检测认证有限公司</w:t>
            </w:r>
          </w:p>
          <w:p>
            <w:pPr>
              <w:widowControl/>
              <w:spacing w:line="276" w:lineRule="auto"/>
              <w:jc w:val="left"/>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合肥通用机械产品认证有限公司(范围仅限于“热泵热水器”)</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jc w:val="center"/>
        </w:trPr>
        <w:tc>
          <w:tcPr>
            <w:tcW w:w="568"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11</w:t>
            </w:r>
          </w:p>
        </w:tc>
        <w:tc>
          <w:tcPr>
            <w:tcW w:w="1134"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A020619</w:t>
            </w:r>
          </w:p>
        </w:tc>
        <w:tc>
          <w:tcPr>
            <w:tcW w:w="1347"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照明设备</w:t>
            </w:r>
          </w:p>
        </w:tc>
        <w:tc>
          <w:tcPr>
            <w:tcW w:w="1402"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p>
        </w:tc>
        <w:tc>
          <w:tcPr>
            <w:tcW w:w="2070"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p>
        </w:tc>
        <w:tc>
          <w:tcPr>
            <w:tcW w:w="3261" w:type="dxa"/>
            <w:shd w:val="clear" w:color="auto" w:fill="FFFFFF"/>
            <w:tcMar>
              <w:top w:w="0" w:type="dxa"/>
              <w:left w:w="108" w:type="dxa"/>
              <w:bottom w:w="0" w:type="dxa"/>
              <w:right w:w="108" w:type="dxa"/>
            </w:tcMar>
            <w:vAlign w:val="center"/>
          </w:tcPr>
          <w:p>
            <w:pPr>
              <w:widowControl/>
              <w:spacing w:line="276" w:lineRule="auto"/>
              <w:jc w:val="left"/>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中国质量认证中心</w:t>
            </w:r>
          </w:p>
          <w:p>
            <w:pPr>
              <w:widowControl/>
              <w:spacing w:line="276" w:lineRule="auto"/>
              <w:jc w:val="left"/>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深圳市计量质量检测研究院</w:t>
            </w:r>
          </w:p>
          <w:p>
            <w:pPr>
              <w:widowControl/>
              <w:spacing w:line="276" w:lineRule="auto"/>
              <w:jc w:val="left"/>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中标合信（北京）认证有限公司</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jc w:val="center"/>
        </w:trPr>
        <w:tc>
          <w:tcPr>
            <w:tcW w:w="568"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12</w:t>
            </w:r>
          </w:p>
        </w:tc>
        <w:tc>
          <w:tcPr>
            <w:tcW w:w="1134"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A020910</w:t>
            </w:r>
          </w:p>
        </w:tc>
        <w:tc>
          <w:tcPr>
            <w:tcW w:w="1347"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电视设备</w:t>
            </w:r>
          </w:p>
        </w:tc>
        <w:tc>
          <w:tcPr>
            <w:tcW w:w="1402"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A02091001</w:t>
            </w:r>
          </w:p>
        </w:tc>
        <w:tc>
          <w:tcPr>
            <w:tcW w:w="2070"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普通电视设备（电视机）</w:t>
            </w:r>
          </w:p>
        </w:tc>
        <w:tc>
          <w:tcPr>
            <w:tcW w:w="3261" w:type="dxa"/>
            <w:vMerge w:val="restart"/>
            <w:shd w:val="clear" w:color="auto" w:fill="FFFFFF"/>
            <w:tcMar>
              <w:top w:w="0" w:type="dxa"/>
              <w:left w:w="108" w:type="dxa"/>
              <w:bottom w:w="0" w:type="dxa"/>
              <w:right w:w="108" w:type="dxa"/>
            </w:tcMar>
            <w:vAlign w:val="center"/>
          </w:tcPr>
          <w:p>
            <w:pPr>
              <w:widowControl/>
              <w:spacing w:line="276" w:lineRule="auto"/>
              <w:jc w:val="left"/>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中国质量认证中心</w:t>
            </w:r>
          </w:p>
          <w:p>
            <w:pPr>
              <w:widowControl/>
              <w:spacing w:line="276" w:lineRule="auto"/>
              <w:jc w:val="left"/>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北京泰瑞特认证有限责任公司</w:t>
            </w:r>
          </w:p>
          <w:p>
            <w:pPr>
              <w:widowControl/>
              <w:spacing w:line="276" w:lineRule="auto"/>
              <w:jc w:val="left"/>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广州赛宝认证中心服务有限公司</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jc w:val="center"/>
        </w:trPr>
        <w:tc>
          <w:tcPr>
            <w:tcW w:w="568"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13</w:t>
            </w:r>
          </w:p>
        </w:tc>
        <w:tc>
          <w:tcPr>
            <w:tcW w:w="1134"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A020911</w:t>
            </w:r>
          </w:p>
        </w:tc>
        <w:tc>
          <w:tcPr>
            <w:tcW w:w="1347"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视频设备</w:t>
            </w:r>
          </w:p>
        </w:tc>
        <w:tc>
          <w:tcPr>
            <w:tcW w:w="1402"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A02091107</w:t>
            </w:r>
          </w:p>
        </w:tc>
        <w:tc>
          <w:tcPr>
            <w:tcW w:w="2070"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视频监控设备</w:t>
            </w:r>
          </w:p>
        </w:tc>
        <w:tc>
          <w:tcPr>
            <w:tcW w:w="3261" w:type="dxa"/>
            <w:vMerge w:val="continue"/>
            <w:shd w:val="clear" w:color="auto" w:fill="FFFFFF"/>
            <w:tcMar>
              <w:top w:w="0" w:type="dxa"/>
              <w:left w:w="0" w:type="dxa"/>
              <w:bottom w:w="0" w:type="dxa"/>
              <w:right w:w="0" w:type="dxa"/>
            </w:tcMar>
            <w:vAlign w:val="center"/>
          </w:tcPr>
          <w:p>
            <w:pPr>
              <w:widowControl/>
              <w:spacing w:line="276" w:lineRule="auto"/>
              <w:jc w:val="left"/>
              <w:rPr>
                <w:rFonts w:ascii="宋体" w:hAnsi="宋体" w:cs="宋体"/>
                <w:color w:val="auto"/>
                <w:w w:val="90"/>
                <w:kern w:val="0"/>
                <w:sz w:val="22"/>
                <w:szCs w:val="22"/>
                <w:highlight w:val="none"/>
              </w:rPr>
            </w:pP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jc w:val="center"/>
        </w:trPr>
        <w:tc>
          <w:tcPr>
            <w:tcW w:w="568"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14</w:t>
            </w:r>
          </w:p>
        </w:tc>
        <w:tc>
          <w:tcPr>
            <w:tcW w:w="1134"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A031210</w:t>
            </w:r>
          </w:p>
        </w:tc>
        <w:tc>
          <w:tcPr>
            <w:tcW w:w="1347"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饮食炊事机械</w:t>
            </w:r>
          </w:p>
        </w:tc>
        <w:tc>
          <w:tcPr>
            <w:tcW w:w="1402"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p>
        </w:tc>
        <w:tc>
          <w:tcPr>
            <w:tcW w:w="2070"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p>
        </w:tc>
        <w:tc>
          <w:tcPr>
            <w:tcW w:w="3261" w:type="dxa"/>
            <w:shd w:val="clear" w:color="auto" w:fill="FFFFFF"/>
            <w:tcMar>
              <w:top w:w="0" w:type="dxa"/>
              <w:left w:w="108" w:type="dxa"/>
              <w:bottom w:w="0" w:type="dxa"/>
              <w:right w:w="108" w:type="dxa"/>
            </w:tcMar>
            <w:vAlign w:val="center"/>
          </w:tcPr>
          <w:p>
            <w:pPr>
              <w:widowControl/>
              <w:spacing w:line="276" w:lineRule="auto"/>
              <w:jc w:val="left"/>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中国质量认证中心</w:t>
            </w:r>
          </w:p>
          <w:p>
            <w:pPr>
              <w:widowControl/>
              <w:spacing w:line="276" w:lineRule="auto"/>
              <w:jc w:val="left"/>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北京鉴衡认证中心</w:t>
            </w:r>
          </w:p>
          <w:p>
            <w:pPr>
              <w:widowControl/>
              <w:spacing w:line="276" w:lineRule="auto"/>
              <w:jc w:val="left"/>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中国市政工程华北设计研究总院有限公司</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jc w:val="center"/>
        </w:trPr>
        <w:tc>
          <w:tcPr>
            <w:tcW w:w="568"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15</w:t>
            </w:r>
          </w:p>
        </w:tc>
        <w:tc>
          <w:tcPr>
            <w:tcW w:w="1134"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A060805</w:t>
            </w:r>
          </w:p>
        </w:tc>
        <w:tc>
          <w:tcPr>
            <w:tcW w:w="1347"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便器</w:t>
            </w:r>
          </w:p>
        </w:tc>
        <w:tc>
          <w:tcPr>
            <w:tcW w:w="1402"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p>
        </w:tc>
        <w:tc>
          <w:tcPr>
            <w:tcW w:w="2070"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p>
        </w:tc>
        <w:tc>
          <w:tcPr>
            <w:tcW w:w="3261" w:type="dxa"/>
            <w:vMerge w:val="restart"/>
            <w:shd w:val="clear" w:color="auto" w:fill="FFFFFF"/>
            <w:tcMar>
              <w:top w:w="0" w:type="dxa"/>
              <w:left w:w="108" w:type="dxa"/>
              <w:bottom w:w="0" w:type="dxa"/>
              <w:right w:w="108" w:type="dxa"/>
            </w:tcMar>
            <w:vAlign w:val="center"/>
          </w:tcPr>
          <w:p>
            <w:pPr>
              <w:widowControl/>
              <w:spacing w:line="276" w:lineRule="auto"/>
              <w:jc w:val="left"/>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中国质量认证中心</w:t>
            </w:r>
          </w:p>
          <w:p>
            <w:pPr>
              <w:widowControl/>
              <w:spacing w:line="276" w:lineRule="auto"/>
              <w:jc w:val="left"/>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北京新华节水产品认证有限公司</w:t>
            </w:r>
          </w:p>
          <w:p>
            <w:pPr>
              <w:widowControl/>
              <w:spacing w:line="276" w:lineRule="auto"/>
              <w:jc w:val="left"/>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方圆标志认证集团有限公司</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jc w:val="center"/>
        </w:trPr>
        <w:tc>
          <w:tcPr>
            <w:tcW w:w="568"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16</w:t>
            </w:r>
          </w:p>
        </w:tc>
        <w:tc>
          <w:tcPr>
            <w:tcW w:w="1134"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A060806</w:t>
            </w:r>
          </w:p>
        </w:tc>
        <w:tc>
          <w:tcPr>
            <w:tcW w:w="1347"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水嘴</w:t>
            </w:r>
          </w:p>
        </w:tc>
        <w:tc>
          <w:tcPr>
            <w:tcW w:w="1402"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p>
        </w:tc>
        <w:tc>
          <w:tcPr>
            <w:tcW w:w="2070"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p>
        </w:tc>
        <w:tc>
          <w:tcPr>
            <w:tcW w:w="3261" w:type="dxa"/>
            <w:vMerge w:val="continue"/>
            <w:shd w:val="clear" w:color="auto" w:fill="FFFFFF"/>
            <w:tcMar>
              <w:top w:w="0" w:type="dxa"/>
              <w:left w:w="0" w:type="dxa"/>
              <w:bottom w:w="0" w:type="dxa"/>
              <w:right w:w="0" w:type="dxa"/>
            </w:tcMar>
            <w:vAlign w:val="center"/>
          </w:tcPr>
          <w:p>
            <w:pPr>
              <w:widowControl/>
              <w:spacing w:line="276" w:lineRule="auto"/>
              <w:jc w:val="left"/>
              <w:rPr>
                <w:rFonts w:ascii="宋体" w:hAnsi="宋体" w:cs="宋体"/>
                <w:color w:val="auto"/>
                <w:w w:val="90"/>
                <w:kern w:val="0"/>
                <w:sz w:val="22"/>
                <w:szCs w:val="22"/>
                <w:highlight w:val="none"/>
              </w:rPr>
            </w:pP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jc w:val="center"/>
        </w:trPr>
        <w:tc>
          <w:tcPr>
            <w:tcW w:w="568"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17</w:t>
            </w:r>
          </w:p>
        </w:tc>
        <w:tc>
          <w:tcPr>
            <w:tcW w:w="1134"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A060807</w:t>
            </w:r>
          </w:p>
        </w:tc>
        <w:tc>
          <w:tcPr>
            <w:tcW w:w="1347"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便器冲洗阀</w:t>
            </w:r>
          </w:p>
        </w:tc>
        <w:tc>
          <w:tcPr>
            <w:tcW w:w="1402"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p>
        </w:tc>
        <w:tc>
          <w:tcPr>
            <w:tcW w:w="2070"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p>
        </w:tc>
        <w:tc>
          <w:tcPr>
            <w:tcW w:w="3261" w:type="dxa"/>
            <w:vMerge w:val="continue"/>
            <w:shd w:val="clear" w:color="auto" w:fill="FFFFFF"/>
            <w:tcMar>
              <w:top w:w="0" w:type="dxa"/>
              <w:left w:w="0" w:type="dxa"/>
              <w:bottom w:w="0" w:type="dxa"/>
              <w:right w:w="0" w:type="dxa"/>
            </w:tcMar>
            <w:vAlign w:val="center"/>
          </w:tcPr>
          <w:p>
            <w:pPr>
              <w:widowControl/>
              <w:spacing w:line="276" w:lineRule="auto"/>
              <w:jc w:val="left"/>
              <w:rPr>
                <w:rFonts w:ascii="宋体" w:hAnsi="宋体" w:cs="宋体"/>
                <w:color w:val="auto"/>
                <w:w w:val="90"/>
                <w:kern w:val="0"/>
                <w:sz w:val="22"/>
                <w:szCs w:val="22"/>
                <w:highlight w:val="none"/>
              </w:rPr>
            </w:pP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jc w:val="center"/>
        </w:trPr>
        <w:tc>
          <w:tcPr>
            <w:tcW w:w="568"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18</w:t>
            </w:r>
          </w:p>
        </w:tc>
        <w:tc>
          <w:tcPr>
            <w:tcW w:w="1134"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A060810</w:t>
            </w:r>
          </w:p>
        </w:tc>
        <w:tc>
          <w:tcPr>
            <w:tcW w:w="1347"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r>
              <w:rPr>
                <w:rFonts w:hint="eastAsia" w:ascii="宋体" w:hAnsi="宋体" w:cs="宋体"/>
                <w:color w:val="auto"/>
                <w:w w:val="90"/>
                <w:kern w:val="0"/>
                <w:sz w:val="22"/>
                <w:szCs w:val="22"/>
                <w:highlight w:val="none"/>
              </w:rPr>
              <w:t>淋浴器</w:t>
            </w:r>
          </w:p>
        </w:tc>
        <w:tc>
          <w:tcPr>
            <w:tcW w:w="1402"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p>
        </w:tc>
        <w:tc>
          <w:tcPr>
            <w:tcW w:w="2070"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宋体" w:hAnsi="宋体" w:cs="宋体"/>
                <w:color w:val="auto"/>
                <w:w w:val="90"/>
                <w:kern w:val="0"/>
                <w:sz w:val="22"/>
                <w:szCs w:val="22"/>
                <w:highlight w:val="none"/>
              </w:rPr>
            </w:pPr>
          </w:p>
        </w:tc>
        <w:tc>
          <w:tcPr>
            <w:tcW w:w="3261" w:type="dxa"/>
            <w:vMerge w:val="continue"/>
            <w:shd w:val="clear" w:color="auto" w:fill="FFFFFF"/>
            <w:tcMar>
              <w:top w:w="0" w:type="dxa"/>
              <w:left w:w="0" w:type="dxa"/>
              <w:bottom w:w="0" w:type="dxa"/>
              <w:right w:w="0" w:type="dxa"/>
            </w:tcMar>
            <w:vAlign w:val="center"/>
          </w:tcPr>
          <w:p>
            <w:pPr>
              <w:widowControl/>
              <w:spacing w:line="276" w:lineRule="auto"/>
              <w:jc w:val="left"/>
              <w:rPr>
                <w:rFonts w:ascii="宋体" w:hAnsi="宋体" w:cs="宋体"/>
                <w:color w:val="auto"/>
                <w:w w:val="90"/>
                <w:kern w:val="0"/>
                <w:sz w:val="22"/>
                <w:szCs w:val="22"/>
                <w:highlight w:val="none"/>
              </w:rPr>
            </w:pPr>
          </w:p>
        </w:tc>
      </w:tr>
    </w:tbl>
    <w:p>
      <w:pPr>
        <w:keepNext/>
        <w:widowControl/>
        <w:adjustRightInd/>
        <w:rPr>
          <w:rFonts w:ascii="宋体" w:hAnsi="宋体" w:cs="宋体"/>
          <w:color w:val="auto"/>
          <w:highlight w:val="none"/>
        </w:rPr>
      </w:pPr>
      <w:r>
        <w:rPr>
          <w:rFonts w:hint="eastAsia" w:ascii="宋体" w:hAnsi="宋体" w:cs="宋体"/>
          <w:color w:val="auto"/>
          <w:highlight w:val="none"/>
        </w:rPr>
        <w:t>附2：参与实施政府采购环境标志产品认证机构名录</w:t>
      </w:r>
    </w:p>
    <w:tbl>
      <w:tblPr>
        <w:tblStyle w:val="63"/>
        <w:tblW w:w="0" w:type="auto"/>
        <w:jc w:val="center"/>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shd w:val="clear" w:color="auto" w:fill="FFFFFF"/>
        <w:tblLayout w:type="fixed"/>
        <w:tblCellMar>
          <w:top w:w="27" w:type="dxa"/>
          <w:left w:w="27" w:type="dxa"/>
          <w:bottom w:w="27" w:type="dxa"/>
          <w:right w:w="27" w:type="dxa"/>
        </w:tblCellMar>
      </w:tblPr>
      <w:tblGrid>
        <w:gridCol w:w="851"/>
        <w:gridCol w:w="2288"/>
        <w:gridCol w:w="6643"/>
      </w:tblGrid>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tblHeader/>
          <w:jc w:val="center"/>
        </w:trPr>
        <w:tc>
          <w:tcPr>
            <w:tcW w:w="851" w:type="dxa"/>
            <w:shd w:val="clear" w:color="auto" w:fill="FDE9D9"/>
            <w:tcMar>
              <w:top w:w="0" w:type="dxa"/>
              <w:left w:w="108" w:type="dxa"/>
              <w:bottom w:w="0" w:type="dxa"/>
              <w:right w:w="108" w:type="dxa"/>
            </w:tcMar>
            <w:vAlign w:val="center"/>
          </w:tcPr>
          <w:p>
            <w:pPr>
              <w:widowControl/>
              <w:spacing w:line="276" w:lineRule="auto"/>
              <w:jc w:val="center"/>
              <w:textAlignment w:val="baseline"/>
              <w:rPr>
                <w:rFonts w:ascii="宋体" w:hAnsi="宋体" w:cs="宋体"/>
                <w:b/>
                <w:color w:val="auto"/>
                <w:kern w:val="0"/>
                <w:sz w:val="22"/>
                <w:szCs w:val="22"/>
                <w:highlight w:val="none"/>
              </w:rPr>
            </w:pPr>
            <w:r>
              <w:rPr>
                <w:rFonts w:hint="eastAsia" w:ascii="宋体" w:hAnsi="宋体" w:cs="宋体"/>
                <w:b/>
                <w:color w:val="auto"/>
                <w:kern w:val="0"/>
                <w:sz w:val="22"/>
                <w:szCs w:val="22"/>
                <w:highlight w:val="none"/>
              </w:rPr>
              <w:t>序号</w:t>
            </w:r>
          </w:p>
        </w:tc>
        <w:tc>
          <w:tcPr>
            <w:tcW w:w="2288" w:type="dxa"/>
            <w:shd w:val="clear" w:color="auto" w:fill="FDE9D9"/>
            <w:tcMar>
              <w:top w:w="0" w:type="dxa"/>
              <w:left w:w="108" w:type="dxa"/>
              <w:bottom w:w="0" w:type="dxa"/>
              <w:right w:w="108" w:type="dxa"/>
            </w:tcMar>
            <w:vAlign w:val="center"/>
          </w:tcPr>
          <w:p>
            <w:pPr>
              <w:widowControl/>
              <w:spacing w:line="276" w:lineRule="auto"/>
              <w:jc w:val="center"/>
              <w:textAlignment w:val="baseline"/>
              <w:rPr>
                <w:rFonts w:ascii="宋体" w:hAnsi="宋体" w:cs="宋体"/>
                <w:b/>
                <w:color w:val="auto"/>
                <w:kern w:val="0"/>
                <w:sz w:val="22"/>
                <w:szCs w:val="22"/>
                <w:highlight w:val="none"/>
              </w:rPr>
            </w:pPr>
            <w:r>
              <w:rPr>
                <w:rFonts w:hint="eastAsia" w:ascii="宋体" w:hAnsi="宋体" w:cs="宋体"/>
                <w:b/>
                <w:color w:val="auto"/>
                <w:kern w:val="0"/>
                <w:sz w:val="22"/>
                <w:szCs w:val="22"/>
                <w:highlight w:val="none"/>
              </w:rPr>
              <w:t>目录</w:t>
            </w:r>
          </w:p>
        </w:tc>
        <w:tc>
          <w:tcPr>
            <w:tcW w:w="6643" w:type="dxa"/>
            <w:shd w:val="clear" w:color="auto" w:fill="FDE9D9"/>
            <w:tcMar>
              <w:top w:w="0" w:type="dxa"/>
              <w:left w:w="108" w:type="dxa"/>
              <w:bottom w:w="0" w:type="dxa"/>
              <w:right w:w="108" w:type="dxa"/>
            </w:tcMar>
            <w:vAlign w:val="center"/>
          </w:tcPr>
          <w:p>
            <w:pPr>
              <w:widowControl/>
              <w:spacing w:line="276" w:lineRule="auto"/>
              <w:jc w:val="center"/>
              <w:textAlignment w:val="baseline"/>
              <w:rPr>
                <w:rFonts w:ascii="宋体" w:hAnsi="宋体" w:cs="宋体"/>
                <w:b/>
                <w:color w:val="auto"/>
                <w:kern w:val="0"/>
                <w:sz w:val="22"/>
                <w:szCs w:val="22"/>
                <w:highlight w:val="none"/>
              </w:rPr>
            </w:pPr>
            <w:r>
              <w:rPr>
                <w:rFonts w:hint="eastAsia" w:ascii="宋体" w:hAnsi="宋体" w:cs="宋体"/>
                <w:b/>
                <w:color w:val="auto"/>
                <w:kern w:val="0"/>
                <w:sz w:val="22"/>
                <w:szCs w:val="22"/>
                <w:highlight w:val="none"/>
              </w:rPr>
              <w:t>认证机构名录</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jc w:val="center"/>
        </w:trPr>
        <w:tc>
          <w:tcPr>
            <w:tcW w:w="851"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2288"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ascii="宋体" w:hAnsi="宋体" w:cs="宋体"/>
                <w:color w:val="auto"/>
                <w:kern w:val="0"/>
                <w:sz w:val="22"/>
                <w:szCs w:val="22"/>
                <w:highlight w:val="none"/>
              </w:rPr>
            </w:pPr>
            <w:r>
              <w:rPr>
                <w:rFonts w:hint="eastAsia" w:ascii="宋体" w:hAnsi="宋体" w:cs="宋体"/>
                <w:color w:val="auto"/>
                <w:kern w:val="0"/>
                <w:sz w:val="22"/>
                <w:szCs w:val="22"/>
                <w:highlight w:val="none"/>
              </w:rPr>
              <w:t>环境标志产品</w:t>
            </w:r>
          </w:p>
        </w:tc>
        <w:tc>
          <w:tcPr>
            <w:tcW w:w="6643" w:type="dxa"/>
            <w:shd w:val="clear" w:color="auto" w:fill="FFFFFF"/>
            <w:tcMar>
              <w:top w:w="0" w:type="dxa"/>
              <w:left w:w="108" w:type="dxa"/>
              <w:bottom w:w="0" w:type="dxa"/>
              <w:right w:w="108" w:type="dxa"/>
            </w:tcMar>
            <w:vAlign w:val="center"/>
          </w:tcPr>
          <w:p>
            <w:pPr>
              <w:widowControl/>
              <w:spacing w:line="276" w:lineRule="auto"/>
              <w:jc w:val="left"/>
              <w:textAlignment w:val="baseline"/>
              <w:rPr>
                <w:rFonts w:ascii="宋体" w:hAnsi="宋体" w:cs="宋体"/>
                <w:color w:val="auto"/>
                <w:kern w:val="0"/>
                <w:sz w:val="22"/>
                <w:szCs w:val="22"/>
                <w:highlight w:val="none"/>
              </w:rPr>
            </w:pPr>
            <w:r>
              <w:rPr>
                <w:rFonts w:hint="eastAsia" w:ascii="宋体" w:hAnsi="宋体" w:cs="宋体"/>
                <w:color w:val="auto"/>
                <w:kern w:val="0"/>
                <w:sz w:val="22"/>
                <w:szCs w:val="22"/>
                <w:highlight w:val="none"/>
              </w:rPr>
              <w:t>中环联合（北京）认证中心有限公司</w:t>
            </w:r>
          </w:p>
          <w:p>
            <w:pPr>
              <w:widowControl/>
              <w:spacing w:line="276" w:lineRule="auto"/>
              <w:jc w:val="left"/>
              <w:textAlignment w:val="baseline"/>
              <w:rPr>
                <w:rFonts w:ascii="宋体" w:hAnsi="宋体" w:cs="宋体"/>
                <w:color w:val="auto"/>
                <w:kern w:val="0"/>
                <w:sz w:val="22"/>
                <w:szCs w:val="22"/>
                <w:highlight w:val="none"/>
              </w:rPr>
            </w:pPr>
            <w:r>
              <w:rPr>
                <w:rFonts w:hint="eastAsia" w:ascii="宋体" w:hAnsi="宋体" w:cs="宋体"/>
                <w:color w:val="auto"/>
                <w:kern w:val="0"/>
                <w:sz w:val="22"/>
                <w:szCs w:val="22"/>
                <w:highlight w:val="none"/>
              </w:rPr>
              <w:t>中标合信（北京）认证有限公司</w:t>
            </w:r>
          </w:p>
          <w:p>
            <w:pPr>
              <w:widowControl/>
              <w:spacing w:line="276" w:lineRule="auto"/>
              <w:jc w:val="left"/>
              <w:textAlignment w:val="baseline"/>
              <w:rPr>
                <w:rFonts w:ascii="宋体" w:hAnsi="宋体" w:cs="宋体"/>
                <w:color w:val="auto"/>
                <w:kern w:val="0"/>
                <w:sz w:val="22"/>
                <w:szCs w:val="22"/>
                <w:highlight w:val="none"/>
              </w:rPr>
            </w:pPr>
            <w:r>
              <w:rPr>
                <w:rFonts w:hint="eastAsia" w:ascii="宋体" w:hAnsi="宋体" w:cs="宋体"/>
                <w:color w:val="auto"/>
                <w:kern w:val="0"/>
                <w:sz w:val="22"/>
                <w:szCs w:val="22"/>
                <w:highlight w:val="none"/>
              </w:rPr>
              <w:t>中环协（北京）认证有限公司</w:t>
            </w:r>
          </w:p>
          <w:p>
            <w:pPr>
              <w:widowControl/>
              <w:spacing w:line="276" w:lineRule="auto"/>
              <w:jc w:val="left"/>
              <w:textAlignment w:val="baseline"/>
              <w:rPr>
                <w:rFonts w:ascii="宋体" w:hAnsi="宋体" w:cs="宋体"/>
                <w:color w:val="auto"/>
                <w:kern w:val="0"/>
                <w:sz w:val="22"/>
                <w:szCs w:val="22"/>
                <w:highlight w:val="none"/>
              </w:rPr>
            </w:pPr>
            <w:r>
              <w:rPr>
                <w:rFonts w:hint="eastAsia" w:ascii="宋体" w:hAnsi="宋体" w:cs="宋体"/>
                <w:color w:val="auto"/>
                <w:kern w:val="0"/>
                <w:sz w:val="22"/>
                <w:szCs w:val="22"/>
                <w:highlight w:val="none"/>
              </w:rPr>
              <w:t>天津华诚认证有限公司</w:t>
            </w:r>
          </w:p>
        </w:tc>
      </w:tr>
      <w:bookmarkEnd w:id="463"/>
      <w:bookmarkEnd w:id="464"/>
      <w:bookmarkEnd w:id="465"/>
      <w:bookmarkEnd w:id="466"/>
      <w:bookmarkEnd w:id="467"/>
    </w:tbl>
    <w:p>
      <w:pPr>
        <w:rPr>
          <w:rFonts w:ascii="宋体" w:hAnsi="宋体" w:cs="宋体"/>
          <w:color w:val="auto"/>
          <w:highlight w:val="none"/>
        </w:rPr>
      </w:pPr>
    </w:p>
    <w:p>
      <w:pPr>
        <w:rPr>
          <w:rFonts w:ascii="宋体" w:hAnsi="宋体" w:cs="宋体"/>
          <w:color w:val="auto"/>
          <w:highlight w:val="none"/>
        </w:rPr>
      </w:pPr>
    </w:p>
    <w:p>
      <w:pPr>
        <w:rPr>
          <w:color w:val="auto"/>
          <w:highlight w:val="none"/>
        </w:rPr>
      </w:pPr>
    </w:p>
    <w:sectPr>
      <w:pgSz w:w="11906" w:h="16838"/>
      <w:pgMar w:top="1440" w:right="1080" w:bottom="1440" w:left="1080"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itka Text"/>
    <w:panose1 w:val="020B05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1"/>
    <w:family w:val="roma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 w:name="Segoe Print">
    <w:panose1 w:val="02000600000000000000"/>
    <w:charset w:val="00"/>
    <w:family w:val="auto"/>
    <w:pitch w:val="default"/>
    <w:sig w:usb0="0000028F" w:usb1="00000000" w:usb2="00000000" w:usb3="00000000" w:csb0="2000009F" w:csb1="47010000"/>
  </w:font>
  <w:font w:name="Sitka Text">
    <w:panose1 w:val="02000505000000020004"/>
    <w:charset w:val="00"/>
    <w:family w:val="auto"/>
    <w:pitch w:val="default"/>
    <w:sig w:usb0="A00002EF" w:usb1="4000204B" w:usb2="00000000" w:usb3="00000000" w:csb0="2000019F" w:csb1="00000000"/>
  </w:font>
  <w:font w:name="Segoe UI Semilight">
    <w:panose1 w:val="020B04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145</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145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145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145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145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145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145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snapToGrid w:val="0"/>
      <w:spacing w:line="460" w:lineRule="exact"/>
      <w:ind w:firstLine="360" w:firstLineChars="200"/>
      <w:jc w:val="center"/>
      <w:rPr>
        <w:rFonts w:ascii="仿宋" w:hAnsi="仿宋" w:eastAsia="仿宋" w:cs="仿宋"/>
        <w:sz w:val="18"/>
        <w:szCs w:val="18"/>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t xml:space="preserve">第 </w:t>
                          </w:r>
                          <w:r>
                            <w:fldChar w:fldCharType="begin"/>
                          </w:r>
                          <w:r>
                            <w:instrText xml:space="preserve"> PAGE  \* MERGEFORMAT </w:instrText>
                          </w:r>
                          <w:r>
                            <w:fldChar w:fldCharType="separate"/>
                          </w:r>
                          <w:r>
                            <w:t>114</w:t>
                          </w:r>
                          <w:r>
                            <w:fldChar w:fldCharType="end"/>
                          </w:r>
                          <w:r>
                            <w:t xml:space="preserve"> 页 共 </w:t>
                          </w:r>
                          <w:r>
                            <w:fldChar w:fldCharType="begin"/>
                          </w:r>
                          <w:r>
                            <w:instrText xml:space="preserve"> NUMPAGES  \* MERGEFORMAT </w:instrText>
                          </w:r>
                          <w:r>
                            <w:fldChar w:fldCharType="separate"/>
                          </w:r>
                          <w:r>
                            <w:t>145</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ILIsws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1dvx+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MgsizCwCAABXBAAADgAAAAAAAAABACAAAAAfAQAAZHJzL2Uyb0RvYy54bWxQSwUGAAAAAAYA&#10;BgBZAQAAvQUAAAAA&#10;">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114</w:t>
                    </w:r>
                    <w:r>
                      <w:fldChar w:fldCharType="end"/>
                    </w:r>
                    <w:r>
                      <w:t xml:space="preserve"> 页 共 </w:t>
                    </w:r>
                    <w:r>
                      <w:fldChar w:fldCharType="begin"/>
                    </w:r>
                    <w:r>
                      <w:instrText xml:space="preserve"> NUMPAGES  \* MERGEFORMAT </w:instrText>
                    </w:r>
                    <w:r>
                      <w:fldChar w:fldCharType="separate"/>
                    </w:r>
                    <w:r>
                      <w:t>145</w:t>
                    </w:r>
                    <w:r>
                      <w:fldChar w:fldCharType="end"/>
                    </w:r>
                    <w:r>
                      <w:t xml:space="preserve"> 页</w:t>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adjustRightInd/>
      <w:spacing w:line="460" w:lineRule="exact"/>
      <w:ind w:firstLine="420" w:firstLineChars="200"/>
      <w:jc w:val="center"/>
      <w:rPr>
        <w:rFonts w:ascii="仿宋" w:hAnsi="仿宋" w:eastAsia="仿宋" w:cs="仿宋"/>
      </w:rP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t xml:space="preserve">第 </w:t>
                          </w:r>
                          <w:r>
                            <w:fldChar w:fldCharType="begin"/>
                          </w:r>
                          <w:r>
                            <w:instrText xml:space="preserve"> PAGE  \* MERGEFORMAT </w:instrText>
                          </w:r>
                          <w:r>
                            <w:fldChar w:fldCharType="separate"/>
                          </w:r>
                          <w:r>
                            <w:t>115</w:t>
                          </w:r>
                          <w:r>
                            <w:fldChar w:fldCharType="end"/>
                          </w:r>
                          <w:r>
                            <w:t xml:space="preserve"> 页 共 </w:t>
                          </w:r>
                          <w:r>
                            <w:fldChar w:fldCharType="begin"/>
                          </w:r>
                          <w:r>
                            <w:instrText xml:space="preserve"> NUMPAGES  \* MERGEFORMAT </w:instrText>
                          </w:r>
                          <w:r>
                            <w:fldChar w:fldCharType="separate"/>
                          </w:r>
                          <w:r>
                            <w:t>145</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vt69Ys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IbSjRTqPjpx/fT&#10;z4fTr28EZxCotX6GuHuLyNC9Mx2Ch3OPw8i7q5yKXzAi8EPe40Ve0QXC46XpZDrN4eLwDRvgZ4/X&#10;rfPhvTCKRKOgDvVLsrLDxoc+dAiJ2bRZN1KmGkpN2oJevX6b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K+3r1iwCAABXBAAADgAAAAAAAAABACAAAAAfAQAAZHJzL2Uyb0RvYy54bWxQSwUGAAAAAAYA&#10;BgBZAQAAvQUAAAAA&#10;">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115</w:t>
                    </w:r>
                    <w:r>
                      <w:fldChar w:fldCharType="end"/>
                    </w:r>
                    <w:r>
                      <w:t xml:space="preserve"> 页 共 </w:t>
                    </w:r>
                    <w:r>
                      <w:fldChar w:fldCharType="begin"/>
                    </w:r>
                    <w:r>
                      <w:instrText xml:space="preserve"> NUMPAGES  \* MERGEFORMAT </w:instrText>
                    </w:r>
                    <w:r>
                      <w:fldChar w:fldCharType="separate"/>
                    </w:r>
                    <w:r>
                      <w:t>145</w:t>
                    </w:r>
                    <w:r>
                      <w:fldChar w:fldCharType="end"/>
                    </w:r>
                    <w:r>
                      <w:t xml:space="preserve"> 页</w:t>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145</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145</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3"/>
      </w:rPr>
    </w:pPr>
    <w:r>
      <w:fldChar w:fldCharType="begin"/>
    </w:r>
    <w:r>
      <w:rPr>
        <w:rStyle w:val="73"/>
      </w:rPr>
      <w:instrText xml:space="preserve">PAGE  </w:instrText>
    </w:r>
    <w:r>
      <w:fldChar w:fldCharType="end"/>
    </w:r>
  </w:p>
  <w:p>
    <w:pPr>
      <w:pStyle w:val="4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3"/>
      </w:rPr>
    </w:pPr>
    <w:r>
      <w:fldChar w:fldCharType="begin"/>
    </w:r>
    <w:r>
      <w:rPr>
        <w:rStyle w:val="73"/>
      </w:rPr>
      <w:instrText xml:space="preserve">PAGE  </w:instrText>
    </w:r>
    <w:r>
      <w:fldChar w:fldCharType="end"/>
    </w:r>
  </w:p>
  <w:p>
    <w:pPr>
      <w:pStyle w:val="41"/>
      <w:ind w:right="360"/>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131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145</w:t>
    </w:r>
    <w:r>
      <w:rPr>
        <w:rFonts w:hint="eastAsia" w:ascii="仿宋_GB2312" w:eastAsia="仿宋_GB2312"/>
        <w:kern w:val="0"/>
        <w:szCs w:val="21"/>
      </w:rPr>
      <w:fldChar w:fldCharType="end"/>
    </w:r>
    <w:bookmarkStart w:id="519" w:name="_Toc91899912"/>
    <w:bookmarkStart w:id="520" w:name="_Toc131845147"/>
    <w:bookmarkStart w:id="521" w:name="_Toc36110187"/>
    <w:bookmarkStart w:id="522" w:name="_Toc164085800"/>
    <w:r>
      <w:rPr>
        <w:rFonts w:hint="eastAsia" w:ascii="仿宋_GB2312" w:eastAsia="仿宋_GB2312"/>
        <w:kern w:val="0"/>
        <w:szCs w:val="21"/>
      </w:rPr>
      <w:t xml:space="preserve"> 页</w:t>
    </w:r>
    <w:bookmarkEnd w:id="519"/>
    <w:bookmarkEnd w:id="520"/>
    <w:bookmarkEnd w:id="521"/>
    <w:bookmarkEnd w:id="52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145</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1"/>
                            <w:jc w:val="center"/>
                          </w:pPr>
                          <w:r>
                            <w:rPr>
                              <w:rFonts w:hint="eastAsia"/>
                            </w:rPr>
                            <w:fldChar w:fldCharType="begin"/>
                          </w:r>
                          <w:r>
                            <w:rPr>
                              <w:rFonts w:hint="eastAsia"/>
                            </w:rPr>
                            <w:instrText xml:space="preserve"> PAGE  \* MERGEFORMAT </w:instrText>
                          </w:r>
                          <w:r>
                            <w:rPr>
                              <w:rFonts w:hint="eastAsia"/>
                            </w:rPr>
                            <w:fldChar w:fldCharType="separate"/>
                          </w:r>
                          <w:r>
                            <w:t>42</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GjeyTLAQAAlw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VssklhM3SYrjrtxprZz3QmZ&#10;DbgCLbW48ZTojxYVTtuyGGExdrORyoO/PURsIXeWUCeouRjOK3ObdystxL9+znr8nzZ/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hpgkvTAAAABQEAAA8AAAAAAAAAAQAgAAAAIgAAAGRycy9kb3du&#10;cmV2LnhtbFBLAQIUABQAAAAIAIdO4kBho3skywEAAJcDAAAOAAAAAAAAAAEAIAAAACIBAABkcnMv&#10;ZTJvRG9jLnhtbFBLBQYAAAAABgAGAFkBAABfBQAAAAA=&#10;">
              <v:fill on="f" focussize="0,0"/>
              <v:stroke on="f" weight="1.25pt"/>
              <v:imagedata o:title=""/>
              <o:lock v:ext="edit" aspectratio="f"/>
              <v:textbox inset="0mm,0mm,0mm,0mm" style="mso-fit-shape-to-text:t;">
                <w:txbxContent>
                  <w:p>
                    <w:pPr>
                      <w:pStyle w:val="41"/>
                      <w:jc w:val="center"/>
                    </w:pPr>
                    <w:r>
                      <w:rPr>
                        <w:rFonts w:hint="eastAsia"/>
                      </w:rPr>
                      <w:fldChar w:fldCharType="begin"/>
                    </w:r>
                    <w:r>
                      <w:rPr>
                        <w:rFonts w:hint="eastAsia"/>
                      </w:rPr>
                      <w:instrText xml:space="preserve"> PAGE  \* MERGEFORMAT </w:instrText>
                    </w:r>
                    <w:r>
                      <w:rPr>
                        <w:rFonts w:hint="eastAsia"/>
                      </w:rPr>
                      <w:fldChar w:fldCharType="separate"/>
                    </w:r>
                    <w:r>
                      <w:t>42</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ind w:right="360"/>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1"/>
                          </w:pPr>
                          <w:r>
                            <w:fldChar w:fldCharType="begin"/>
                          </w:r>
                          <w:r>
                            <w:instrText xml:space="preserve"> PAGE  \* MERGEFORMAT </w:instrText>
                          </w:r>
                          <w:r>
                            <w:fldChar w:fldCharType="separate"/>
                          </w:r>
                          <w:r>
                            <w:t>68</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hpgkvTAAAABQEAAA8AAAAAAAAAAQAgAAAAIgAAAGRycy9kb3du&#10;cmV2LnhtbFBLAQIUABQAAAAIAIdO4kCAna3LywEAAJcDAAAOAAAAAAAAAAEAIAAAACIBAABkcnMv&#10;ZTJvRG9jLnhtbFBLBQYAAAAABgAGAFkBAABfBQAAAAA=&#10;">
              <v:fill on="f" focussize="0,0"/>
              <v:stroke on="f" weight="1.25pt"/>
              <v:imagedata o:title=""/>
              <o:lock v:ext="edit" aspectratio="f"/>
              <v:textbox inset="0mm,0mm,0mm,0mm" style="mso-fit-shape-to-text:t;">
                <w:txbxContent>
                  <w:p>
                    <w:pPr>
                      <w:pStyle w:val="41"/>
                    </w:pPr>
                    <w:r>
                      <w:fldChar w:fldCharType="begin"/>
                    </w:r>
                    <w:r>
                      <w:instrText xml:space="preserve"> PAGE  \* MERGEFORMAT </w:instrText>
                    </w:r>
                    <w:r>
                      <w:fldChar w:fldCharType="separate"/>
                    </w:r>
                    <w:r>
                      <w:t>68</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3"/>
      </w:rPr>
    </w:pPr>
    <w:r>
      <w:fldChar w:fldCharType="begin"/>
    </w:r>
    <w:r>
      <w:rPr>
        <w:rStyle w:val="73"/>
      </w:rPr>
      <w:instrText xml:space="preserve">PAGE  </w:instrText>
    </w:r>
    <w:r>
      <w:fldChar w:fldCharType="end"/>
    </w:r>
  </w:p>
  <w:p>
    <w:pPr>
      <w:pStyle w:val="41"/>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jc w:val="center"/>
                          </w:pPr>
                          <w:r>
                            <w:fldChar w:fldCharType="begin"/>
                          </w:r>
                          <w:r>
                            <w:instrText xml:space="preserve"> PAGE  \* MERGEFORMAT </w:instrText>
                          </w:r>
                          <w:r>
                            <w:fldChar w:fldCharType="separate"/>
                          </w:r>
                          <w:r>
                            <w:t>43</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aGmCS9MAAAAFAQAADwAAAAAAAAABACAAAAAiAAAAZHJzL2Rvd25y&#10;ZXYueG1sUEsBAhQAFAAAAAgAh07iQFq6k8jKAQAAlwMAAA4AAAAAAAAAAQAgAAAAIgEAAGRycy9l&#10;Mm9Eb2MueG1sUEsFBgAAAAAGAAYAWQEAAF4FAAAAAA==&#10;">
              <v:fill on="f" focussize="0,0"/>
              <v:stroke on="f" weight="1.25pt"/>
              <v:imagedata o:title=""/>
              <o:lock v:ext="edit" aspectratio="f"/>
              <v:textbox inset="0mm,0mm,0mm,0mm" style="mso-fit-shape-to-text:t;">
                <w:txbxContent>
                  <w:p>
                    <w:pPr>
                      <w:jc w:val="center"/>
                    </w:pPr>
                    <w:r>
                      <w:fldChar w:fldCharType="begin"/>
                    </w:r>
                    <w:r>
                      <w:instrText xml:space="preserve"> PAGE  \* MERGEFORMAT </w:instrText>
                    </w:r>
                    <w:r>
                      <w:fldChar w:fldCharType="separate"/>
                    </w:r>
                    <w:r>
                      <w:t>43</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145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145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jc w:val="right"/>
      <w:rPr>
        <w:rFonts w:ascii="仿宋_GB2312" w:eastAsia="仿宋_GB2312"/>
        <w:i/>
        <w:u w:val="single"/>
      </w:rPr>
    </w:pPr>
    <w:r>
      <w:rPr>
        <w:lang w:val="zh-CN"/>
      </w:rPr>
      <w:t>杭州市政府采购</w:t>
    </w:r>
    <w:r>
      <w:rPr>
        <w:rFonts w:hint="eastAsia"/>
        <w:lang w:val="zh-CN"/>
      </w:rPr>
      <w:t>竞争性磋商文件</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rPr>
        <w:rFonts w:ascii="仿宋_GB2312"/>
        <w:b/>
        <w:i/>
        <w:iCs/>
        <w:u w:val="single"/>
      </w:rPr>
    </w:pPr>
    <w:r>
      <w:rPr>
        <w:lang w:val="zh-CN"/>
      </w:rPr>
      <w:t>杭州市政府采购</w:t>
    </w:r>
    <w:r>
      <w:rPr>
        <w:rFonts w:hint="eastAsia"/>
        <w:lang w:val="zh-CN"/>
      </w:rPr>
      <w:t>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pPr>
    <w:r>
      <w:rPr>
        <w:lang w:val="zh-CN"/>
      </w:rPr>
      <w:t>杭州市政府采购</w:t>
    </w:r>
    <w:r>
      <w:rPr>
        <w:rFonts w:hint="eastAsia"/>
        <w:lang w:val="zh-CN"/>
      </w:rPr>
      <w:t>竞争性磋商文件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pPr>
    <w:r>
      <w:rPr>
        <w:lang w:val="zh-CN"/>
      </w:rPr>
      <w:t>杭州市政府采购</w:t>
    </w:r>
    <w:r>
      <w:rPr>
        <w:rFonts w:hint="eastAsia"/>
        <w:lang w:val="zh-CN"/>
      </w:rPr>
      <w:t>竞争性磋商文件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pPr>
    <w:r>
      <w:rPr>
        <w:lang w:val="zh-CN"/>
      </w:rPr>
      <w:t>杭州市政府采购</w:t>
    </w:r>
    <w:r>
      <w:rPr>
        <w:rFonts w:hint="eastAsia"/>
        <w:lang w:val="zh-CN"/>
      </w:rPr>
      <w:t>竞争性磋商文件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rPr>
        <w:rFonts w:ascii="仿宋_GB2312" w:eastAsia="仿宋_GB2312"/>
        <w:b/>
        <w:i/>
        <w:u w:val="single"/>
      </w:rPr>
    </w:pPr>
    <w:r>
      <w:rPr>
        <w:lang w:val="zh-CN"/>
      </w:rPr>
      <w:t>杭州市政府采购</w:t>
    </w:r>
    <w:r>
      <w:rPr>
        <w:rFonts w:hint="eastAsia"/>
        <w:lang w:val="zh-CN"/>
      </w:rPr>
      <w:t>竞争性磋商文件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snapToGrid w:val="0"/>
      <w:spacing w:line="460" w:lineRule="exact"/>
      <w:ind w:firstLine="360" w:firstLineChars="200"/>
      <w:jc w:val="center"/>
      <w:rPr>
        <w:rFonts w:ascii="仿宋" w:hAnsi="仿宋" w:eastAsia="仿宋" w:cs="仿宋"/>
        <w:sz w:val="18"/>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wordWrap w:val="0"/>
      <w:snapToGrid w:val="0"/>
      <w:spacing w:line="460" w:lineRule="exact"/>
      <w:rPr>
        <w:rFonts w:ascii="仿宋" w:hAnsi="仿宋" w:eastAsia="仿宋" w:cs="仿宋"/>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0650DF"/>
    <w:multiLevelType w:val="singleLevel"/>
    <w:tmpl w:val="840650DF"/>
    <w:lvl w:ilvl="0" w:tentative="0">
      <w:start w:val="1"/>
      <w:numFmt w:val="decimal"/>
      <w:suff w:val="nothing"/>
      <w:lvlText w:val="%1）"/>
      <w:lvlJc w:val="left"/>
    </w:lvl>
  </w:abstractNum>
  <w:abstractNum w:abstractNumId="1">
    <w:nsid w:val="8B1E102D"/>
    <w:multiLevelType w:val="singleLevel"/>
    <w:tmpl w:val="8B1E102D"/>
    <w:lvl w:ilvl="0" w:tentative="0">
      <w:start w:val="1"/>
      <w:numFmt w:val="decimal"/>
      <w:suff w:val="nothing"/>
      <w:lvlText w:val="（%1）"/>
      <w:lvlJc w:val="left"/>
    </w:lvl>
  </w:abstractNum>
  <w:abstractNum w:abstractNumId="2">
    <w:nsid w:val="B1359DF2"/>
    <w:multiLevelType w:val="singleLevel"/>
    <w:tmpl w:val="B1359DF2"/>
    <w:lvl w:ilvl="0" w:tentative="0">
      <w:start w:val="1"/>
      <w:numFmt w:val="decimal"/>
      <w:suff w:val="nothing"/>
      <w:lvlText w:val="%1）"/>
      <w:lvlJc w:val="left"/>
    </w:lvl>
  </w:abstractNum>
  <w:abstractNum w:abstractNumId="3">
    <w:nsid w:val="BCD22495"/>
    <w:multiLevelType w:val="singleLevel"/>
    <w:tmpl w:val="BCD22495"/>
    <w:lvl w:ilvl="0" w:tentative="0">
      <w:start w:val="1"/>
      <w:numFmt w:val="decimal"/>
      <w:suff w:val="nothing"/>
      <w:lvlText w:val="%1）"/>
      <w:lvlJc w:val="left"/>
    </w:lvl>
  </w:abstractNum>
  <w:abstractNum w:abstractNumId="4">
    <w:nsid w:val="30F4AF16"/>
    <w:multiLevelType w:val="singleLevel"/>
    <w:tmpl w:val="30F4AF16"/>
    <w:lvl w:ilvl="0" w:tentative="0">
      <w:start w:val="1"/>
      <w:numFmt w:val="decimal"/>
      <w:suff w:val="nothing"/>
      <w:lvlText w:val="%1）"/>
      <w:lvlJc w:val="left"/>
    </w:lvl>
  </w:abstractNum>
  <w:abstractNum w:abstractNumId="5">
    <w:nsid w:val="7B88225C"/>
    <w:multiLevelType w:val="singleLevel"/>
    <w:tmpl w:val="7B88225C"/>
    <w:lvl w:ilvl="0" w:tentative="0">
      <w:start w:val="1"/>
      <w:numFmt w:val="decimal"/>
      <w:suff w:val="nothing"/>
      <w:lvlText w:val="%1）"/>
      <w:lvlJc w:val="left"/>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19"/>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diYWVjYzNjM2Q3MDVlNWEzYWIwMjY4YzcyMTM0ZmU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6B73"/>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53E"/>
    <w:rsid w:val="000336D4"/>
    <w:rsid w:val="00034FA7"/>
    <w:rsid w:val="0003533D"/>
    <w:rsid w:val="000357E4"/>
    <w:rsid w:val="00035ACA"/>
    <w:rsid w:val="00036C29"/>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471"/>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D7FC8"/>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43"/>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08F"/>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16F"/>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689A"/>
    <w:rsid w:val="00157432"/>
    <w:rsid w:val="00161185"/>
    <w:rsid w:val="001620BA"/>
    <w:rsid w:val="001623AC"/>
    <w:rsid w:val="00162BAA"/>
    <w:rsid w:val="00163C40"/>
    <w:rsid w:val="0016488B"/>
    <w:rsid w:val="00165758"/>
    <w:rsid w:val="00165A65"/>
    <w:rsid w:val="00166317"/>
    <w:rsid w:val="00167055"/>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3D8"/>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56EF"/>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0CFA"/>
    <w:rsid w:val="001A128B"/>
    <w:rsid w:val="001A1475"/>
    <w:rsid w:val="001A1F0E"/>
    <w:rsid w:val="001A3335"/>
    <w:rsid w:val="001A473A"/>
    <w:rsid w:val="001A4977"/>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59D"/>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A25"/>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1D18"/>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67C6"/>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8DC"/>
    <w:rsid w:val="00296C32"/>
    <w:rsid w:val="002977CE"/>
    <w:rsid w:val="00297AF5"/>
    <w:rsid w:val="002A02D6"/>
    <w:rsid w:val="002A07C4"/>
    <w:rsid w:val="002A0921"/>
    <w:rsid w:val="002A0CB3"/>
    <w:rsid w:val="002A1887"/>
    <w:rsid w:val="002A2001"/>
    <w:rsid w:val="002A28BA"/>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635"/>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1F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3A"/>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804"/>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A6B"/>
    <w:rsid w:val="003B0D79"/>
    <w:rsid w:val="003B2930"/>
    <w:rsid w:val="003B31A7"/>
    <w:rsid w:val="003B4587"/>
    <w:rsid w:val="003B4B51"/>
    <w:rsid w:val="003B4FE1"/>
    <w:rsid w:val="003B514E"/>
    <w:rsid w:val="003B5531"/>
    <w:rsid w:val="003B636A"/>
    <w:rsid w:val="003B69CE"/>
    <w:rsid w:val="003B7403"/>
    <w:rsid w:val="003C0088"/>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6CEE"/>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439"/>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7DA"/>
    <w:rsid w:val="00450B22"/>
    <w:rsid w:val="00451709"/>
    <w:rsid w:val="004518FA"/>
    <w:rsid w:val="00451A02"/>
    <w:rsid w:val="0045277C"/>
    <w:rsid w:val="00453507"/>
    <w:rsid w:val="00453592"/>
    <w:rsid w:val="004543AB"/>
    <w:rsid w:val="004545EC"/>
    <w:rsid w:val="00455967"/>
    <w:rsid w:val="00455F71"/>
    <w:rsid w:val="00456272"/>
    <w:rsid w:val="0045679C"/>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3DD1"/>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17D"/>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45F"/>
    <w:rsid w:val="004B6E50"/>
    <w:rsid w:val="004B728F"/>
    <w:rsid w:val="004B7317"/>
    <w:rsid w:val="004B75B2"/>
    <w:rsid w:val="004B75C6"/>
    <w:rsid w:val="004B7A16"/>
    <w:rsid w:val="004C02C5"/>
    <w:rsid w:val="004C0BF0"/>
    <w:rsid w:val="004C0D40"/>
    <w:rsid w:val="004C0D94"/>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A0B"/>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4B05"/>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289D"/>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4E2"/>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17FE0"/>
    <w:rsid w:val="005207D8"/>
    <w:rsid w:val="0052091D"/>
    <w:rsid w:val="005212F4"/>
    <w:rsid w:val="00521908"/>
    <w:rsid w:val="005224BC"/>
    <w:rsid w:val="00522928"/>
    <w:rsid w:val="00522FF1"/>
    <w:rsid w:val="00523946"/>
    <w:rsid w:val="0052397A"/>
    <w:rsid w:val="005256D6"/>
    <w:rsid w:val="00525AD8"/>
    <w:rsid w:val="00525D6B"/>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7AE"/>
    <w:rsid w:val="005668B9"/>
    <w:rsid w:val="00566E39"/>
    <w:rsid w:val="0056704E"/>
    <w:rsid w:val="00567623"/>
    <w:rsid w:val="005701C2"/>
    <w:rsid w:val="00570250"/>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1E6"/>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6AA"/>
    <w:rsid w:val="00650D19"/>
    <w:rsid w:val="00652CF5"/>
    <w:rsid w:val="0065343E"/>
    <w:rsid w:val="00653446"/>
    <w:rsid w:val="00653672"/>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8BB"/>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1E4"/>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3DD"/>
    <w:rsid w:val="006B3669"/>
    <w:rsid w:val="006B36E5"/>
    <w:rsid w:val="006B3D00"/>
    <w:rsid w:val="006B4CF8"/>
    <w:rsid w:val="006B506B"/>
    <w:rsid w:val="006B54E8"/>
    <w:rsid w:val="006B5FBC"/>
    <w:rsid w:val="006B6ED2"/>
    <w:rsid w:val="006B7F74"/>
    <w:rsid w:val="006C0230"/>
    <w:rsid w:val="006C05BE"/>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9A3"/>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0FEA"/>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3EE"/>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3761"/>
    <w:rsid w:val="007444E6"/>
    <w:rsid w:val="0074592C"/>
    <w:rsid w:val="00745C91"/>
    <w:rsid w:val="00746098"/>
    <w:rsid w:val="00746D58"/>
    <w:rsid w:val="00747578"/>
    <w:rsid w:val="00750ACA"/>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317"/>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D47"/>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503"/>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49CD"/>
    <w:rsid w:val="00804D71"/>
    <w:rsid w:val="008052CE"/>
    <w:rsid w:val="0080548A"/>
    <w:rsid w:val="008058D0"/>
    <w:rsid w:val="00805DB4"/>
    <w:rsid w:val="00806A4C"/>
    <w:rsid w:val="0080705B"/>
    <w:rsid w:val="0080723C"/>
    <w:rsid w:val="00807F71"/>
    <w:rsid w:val="0081000F"/>
    <w:rsid w:val="0081137A"/>
    <w:rsid w:val="00812657"/>
    <w:rsid w:val="00812A1A"/>
    <w:rsid w:val="00812DFF"/>
    <w:rsid w:val="008135BD"/>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5B14"/>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36"/>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C35"/>
    <w:rsid w:val="00897D19"/>
    <w:rsid w:val="008A0044"/>
    <w:rsid w:val="008A0156"/>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4F4F"/>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7C2"/>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5B85"/>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77349"/>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2F7F"/>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357"/>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8B8"/>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4DD"/>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1A6F"/>
    <w:rsid w:val="00A526CE"/>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423"/>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0E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0DD"/>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E7368"/>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4EE"/>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4478"/>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A0B"/>
    <w:rsid w:val="00B72CF0"/>
    <w:rsid w:val="00B7380E"/>
    <w:rsid w:val="00B740F6"/>
    <w:rsid w:val="00B74615"/>
    <w:rsid w:val="00B74789"/>
    <w:rsid w:val="00B755B6"/>
    <w:rsid w:val="00B75977"/>
    <w:rsid w:val="00B75A48"/>
    <w:rsid w:val="00B75CC0"/>
    <w:rsid w:val="00B76021"/>
    <w:rsid w:val="00B76FCD"/>
    <w:rsid w:val="00B76FFF"/>
    <w:rsid w:val="00B7764D"/>
    <w:rsid w:val="00B8003B"/>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532"/>
    <w:rsid w:val="00BA3869"/>
    <w:rsid w:val="00BA39EB"/>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1146"/>
    <w:rsid w:val="00C0234A"/>
    <w:rsid w:val="00C0247B"/>
    <w:rsid w:val="00C0378E"/>
    <w:rsid w:val="00C04314"/>
    <w:rsid w:val="00C04BD0"/>
    <w:rsid w:val="00C05595"/>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ABD"/>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34B"/>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38E"/>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1D50"/>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C31"/>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3D5D"/>
    <w:rsid w:val="00DA4A61"/>
    <w:rsid w:val="00DA5897"/>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1EA4"/>
    <w:rsid w:val="00DE2073"/>
    <w:rsid w:val="00DE30AC"/>
    <w:rsid w:val="00DE38D1"/>
    <w:rsid w:val="00DE4106"/>
    <w:rsid w:val="00DE466B"/>
    <w:rsid w:val="00DE48F4"/>
    <w:rsid w:val="00DE5563"/>
    <w:rsid w:val="00DE5C19"/>
    <w:rsid w:val="00DE5D48"/>
    <w:rsid w:val="00DE6157"/>
    <w:rsid w:val="00DE6E4D"/>
    <w:rsid w:val="00DE7498"/>
    <w:rsid w:val="00DE75EF"/>
    <w:rsid w:val="00DE7611"/>
    <w:rsid w:val="00DE7D19"/>
    <w:rsid w:val="00DF04FC"/>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3E71"/>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6EC6"/>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1EE"/>
    <w:rsid w:val="00E912FD"/>
    <w:rsid w:val="00E91B26"/>
    <w:rsid w:val="00E92C6E"/>
    <w:rsid w:val="00E92D0B"/>
    <w:rsid w:val="00E92FFF"/>
    <w:rsid w:val="00E93195"/>
    <w:rsid w:val="00E9391C"/>
    <w:rsid w:val="00E93D05"/>
    <w:rsid w:val="00E950D4"/>
    <w:rsid w:val="00E951D8"/>
    <w:rsid w:val="00E95C2A"/>
    <w:rsid w:val="00E961CB"/>
    <w:rsid w:val="00E963BC"/>
    <w:rsid w:val="00E966A6"/>
    <w:rsid w:val="00E96E91"/>
    <w:rsid w:val="00E9751D"/>
    <w:rsid w:val="00E97DC6"/>
    <w:rsid w:val="00E97F7A"/>
    <w:rsid w:val="00EA0010"/>
    <w:rsid w:val="00EA0143"/>
    <w:rsid w:val="00EA089B"/>
    <w:rsid w:val="00EA1ACC"/>
    <w:rsid w:val="00EA29E4"/>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A57"/>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5986"/>
    <w:rsid w:val="00ED613A"/>
    <w:rsid w:val="00ED6514"/>
    <w:rsid w:val="00ED66B2"/>
    <w:rsid w:val="00ED71BA"/>
    <w:rsid w:val="00ED728F"/>
    <w:rsid w:val="00ED73A1"/>
    <w:rsid w:val="00ED7CA2"/>
    <w:rsid w:val="00EE04F9"/>
    <w:rsid w:val="00EE05E0"/>
    <w:rsid w:val="00EE0FF6"/>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0E2D"/>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6944"/>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C65DA5"/>
    <w:rsid w:val="01D55165"/>
    <w:rsid w:val="01DF6BF8"/>
    <w:rsid w:val="01E70DB5"/>
    <w:rsid w:val="01EC2C57"/>
    <w:rsid w:val="025F0711"/>
    <w:rsid w:val="026B2E25"/>
    <w:rsid w:val="02824D4D"/>
    <w:rsid w:val="02DC4B10"/>
    <w:rsid w:val="02DD76CE"/>
    <w:rsid w:val="02F36323"/>
    <w:rsid w:val="02F5619C"/>
    <w:rsid w:val="0326446A"/>
    <w:rsid w:val="032D5555"/>
    <w:rsid w:val="036634D2"/>
    <w:rsid w:val="037D56E7"/>
    <w:rsid w:val="03DD35E4"/>
    <w:rsid w:val="03F040A4"/>
    <w:rsid w:val="04076900"/>
    <w:rsid w:val="041A5A3B"/>
    <w:rsid w:val="042311BA"/>
    <w:rsid w:val="042B157A"/>
    <w:rsid w:val="048F763B"/>
    <w:rsid w:val="049F330E"/>
    <w:rsid w:val="04AA775C"/>
    <w:rsid w:val="04AF1889"/>
    <w:rsid w:val="04C64E6C"/>
    <w:rsid w:val="04F66F48"/>
    <w:rsid w:val="05251E14"/>
    <w:rsid w:val="05A16594"/>
    <w:rsid w:val="05A7762D"/>
    <w:rsid w:val="060E5941"/>
    <w:rsid w:val="06110FAF"/>
    <w:rsid w:val="061E21DC"/>
    <w:rsid w:val="06493CA7"/>
    <w:rsid w:val="065A6178"/>
    <w:rsid w:val="066F1CF3"/>
    <w:rsid w:val="06930BB8"/>
    <w:rsid w:val="07245D42"/>
    <w:rsid w:val="07264C62"/>
    <w:rsid w:val="0779354C"/>
    <w:rsid w:val="07A46B95"/>
    <w:rsid w:val="08061376"/>
    <w:rsid w:val="08452D77"/>
    <w:rsid w:val="086401F8"/>
    <w:rsid w:val="08661343"/>
    <w:rsid w:val="08751CAA"/>
    <w:rsid w:val="087E4C40"/>
    <w:rsid w:val="08923AEE"/>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703465"/>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437C74"/>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2B4878"/>
    <w:rsid w:val="154A6454"/>
    <w:rsid w:val="15762120"/>
    <w:rsid w:val="16A8729C"/>
    <w:rsid w:val="16B33777"/>
    <w:rsid w:val="16BC70A7"/>
    <w:rsid w:val="16C6339E"/>
    <w:rsid w:val="172F2D79"/>
    <w:rsid w:val="17557BEF"/>
    <w:rsid w:val="17737FD0"/>
    <w:rsid w:val="17D349C1"/>
    <w:rsid w:val="1830729E"/>
    <w:rsid w:val="1870062C"/>
    <w:rsid w:val="18817102"/>
    <w:rsid w:val="18830A15"/>
    <w:rsid w:val="18852B28"/>
    <w:rsid w:val="188B5321"/>
    <w:rsid w:val="19932372"/>
    <w:rsid w:val="19A20DD5"/>
    <w:rsid w:val="19AE03F1"/>
    <w:rsid w:val="19AF5011"/>
    <w:rsid w:val="1A071A03"/>
    <w:rsid w:val="1A1F16AE"/>
    <w:rsid w:val="1A3B5C77"/>
    <w:rsid w:val="1A984BAD"/>
    <w:rsid w:val="1AB8220E"/>
    <w:rsid w:val="1AE4166C"/>
    <w:rsid w:val="1AF06CFB"/>
    <w:rsid w:val="1AF11B8D"/>
    <w:rsid w:val="1B076082"/>
    <w:rsid w:val="1B11359C"/>
    <w:rsid w:val="1B2A271F"/>
    <w:rsid w:val="1B530544"/>
    <w:rsid w:val="1B713184"/>
    <w:rsid w:val="1BA209CF"/>
    <w:rsid w:val="1BB4777D"/>
    <w:rsid w:val="1BD75AB8"/>
    <w:rsid w:val="1C0459C2"/>
    <w:rsid w:val="1C1B3B4A"/>
    <w:rsid w:val="1C7725CD"/>
    <w:rsid w:val="1C88086E"/>
    <w:rsid w:val="1D266CE1"/>
    <w:rsid w:val="1D3963AF"/>
    <w:rsid w:val="1D3D0FE5"/>
    <w:rsid w:val="1D6A673C"/>
    <w:rsid w:val="1D9247AE"/>
    <w:rsid w:val="1DB567EC"/>
    <w:rsid w:val="1DF51A98"/>
    <w:rsid w:val="1E3D060F"/>
    <w:rsid w:val="1E3F7D2E"/>
    <w:rsid w:val="1E4134E4"/>
    <w:rsid w:val="1E5062B3"/>
    <w:rsid w:val="1E523514"/>
    <w:rsid w:val="1E714A66"/>
    <w:rsid w:val="1E802593"/>
    <w:rsid w:val="1E8B6156"/>
    <w:rsid w:val="1EA703CC"/>
    <w:rsid w:val="1EB7330C"/>
    <w:rsid w:val="1F0A0FF3"/>
    <w:rsid w:val="1F5771FF"/>
    <w:rsid w:val="1F646BF6"/>
    <w:rsid w:val="1F904124"/>
    <w:rsid w:val="1FE868A9"/>
    <w:rsid w:val="20034907"/>
    <w:rsid w:val="20173E4B"/>
    <w:rsid w:val="204E48BC"/>
    <w:rsid w:val="208921B3"/>
    <w:rsid w:val="20973DEB"/>
    <w:rsid w:val="20B26522"/>
    <w:rsid w:val="20B44310"/>
    <w:rsid w:val="211116EB"/>
    <w:rsid w:val="216133FC"/>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7044A29"/>
    <w:rsid w:val="271D34C8"/>
    <w:rsid w:val="276142BF"/>
    <w:rsid w:val="27783712"/>
    <w:rsid w:val="27907362"/>
    <w:rsid w:val="28333E1D"/>
    <w:rsid w:val="28454BD6"/>
    <w:rsid w:val="28455253"/>
    <w:rsid w:val="28551971"/>
    <w:rsid w:val="285B1C53"/>
    <w:rsid w:val="289A76CA"/>
    <w:rsid w:val="289F7086"/>
    <w:rsid w:val="28C32028"/>
    <w:rsid w:val="28CC490F"/>
    <w:rsid w:val="28DE40AA"/>
    <w:rsid w:val="29345E77"/>
    <w:rsid w:val="294C65AD"/>
    <w:rsid w:val="29806583"/>
    <w:rsid w:val="298B3C4C"/>
    <w:rsid w:val="299677F3"/>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0599B"/>
    <w:rsid w:val="2E9A3C18"/>
    <w:rsid w:val="2EBB0FEE"/>
    <w:rsid w:val="2EC63002"/>
    <w:rsid w:val="2F0A6B38"/>
    <w:rsid w:val="2F946CCB"/>
    <w:rsid w:val="2FD25781"/>
    <w:rsid w:val="2FDC745C"/>
    <w:rsid w:val="2FFD7934"/>
    <w:rsid w:val="302503E9"/>
    <w:rsid w:val="30261FF5"/>
    <w:rsid w:val="30733ACD"/>
    <w:rsid w:val="308C3862"/>
    <w:rsid w:val="309379D8"/>
    <w:rsid w:val="30A270F7"/>
    <w:rsid w:val="30DF1478"/>
    <w:rsid w:val="30EC586F"/>
    <w:rsid w:val="319C6071"/>
    <w:rsid w:val="31A11ECE"/>
    <w:rsid w:val="31AC537E"/>
    <w:rsid w:val="31E3679B"/>
    <w:rsid w:val="31E732FD"/>
    <w:rsid w:val="32517576"/>
    <w:rsid w:val="32BE5C2C"/>
    <w:rsid w:val="32D63C1D"/>
    <w:rsid w:val="32FB6478"/>
    <w:rsid w:val="332410BB"/>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216100"/>
    <w:rsid w:val="39636459"/>
    <w:rsid w:val="396B7F6C"/>
    <w:rsid w:val="39B417A9"/>
    <w:rsid w:val="39FC5695"/>
    <w:rsid w:val="3A006D8E"/>
    <w:rsid w:val="3A204F94"/>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6176D3"/>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1C37AA"/>
    <w:rsid w:val="44813068"/>
    <w:rsid w:val="449101DD"/>
    <w:rsid w:val="44DE1391"/>
    <w:rsid w:val="451B225C"/>
    <w:rsid w:val="452410C9"/>
    <w:rsid w:val="45317DFB"/>
    <w:rsid w:val="456D3CE4"/>
    <w:rsid w:val="4579042C"/>
    <w:rsid w:val="457F0571"/>
    <w:rsid w:val="45851176"/>
    <w:rsid w:val="45C55BC2"/>
    <w:rsid w:val="45C63B94"/>
    <w:rsid w:val="460E7DA5"/>
    <w:rsid w:val="46422483"/>
    <w:rsid w:val="4659254A"/>
    <w:rsid w:val="465B0637"/>
    <w:rsid w:val="465E3F0D"/>
    <w:rsid w:val="466A16E6"/>
    <w:rsid w:val="46893F2B"/>
    <w:rsid w:val="46C444E6"/>
    <w:rsid w:val="46C4686E"/>
    <w:rsid w:val="477B778F"/>
    <w:rsid w:val="478203EC"/>
    <w:rsid w:val="47B025FA"/>
    <w:rsid w:val="48017ED3"/>
    <w:rsid w:val="4809698F"/>
    <w:rsid w:val="4811697D"/>
    <w:rsid w:val="487A3E25"/>
    <w:rsid w:val="488B5503"/>
    <w:rsid w:val="48937E21"/>
    <w:rsid w:val="489A0361"/>
    <w:rsid w:val="48A8102D"/>
    <w:rsid w:val="48B94FF3"/>
    <w:rsid w:val="48E37AAB"/>
    <w:rsid w:val="48FD4B4C"/>
    <w:rsid w:val="490A68E0"/>
    <w:rsid w:val="491055FE"/>
    <w:rsid w:val="495F5B3E"/>
    <w:rsid w:val="496F77D7"/>
    <w:rsid w:val="497654FD"/>
    <w:rsid w:val="49B64211"/>
    <w:rsid w:val="49D41AAC"/>
    <w:rsid w:val="49F6167F"/>
    <w:rsid w:val="4A064FA0"/>
    <w:rsid w:val="4A16615C"/>
    <w:rsid w:val="4A4424D7"/>
    <w:rsid w:val="4AB82D0F"/>
    <w:rsid w:val="4AEB7664"/>
    <w:rsid w:val="4AFD7C19"/>
    <w:rsid w:val="4B0567D1"/>
    <w:rsid w:val="4B236AAE"/>
    <w:rsid w:val="4B2F799D"/>
    <w:rsid w:val="4B707271"/>
    <w:rsid w:val="4B9739F7"/>
    <w:rsid w:val="4BEE2503"/>
    <w:rsid w:val="4BF727EA"/>
    <w:rsid w:val="4C245A30"/>
    <w:rsid w:val="4C6C7D64"/>
    <w:rsid w:val="4CB6685F"/>
    <w:rsid w:val="4CC367FE"/>
    <w:rsid w:val="4D077F3C"/>
    <w:rsid w:val="4D123355"/>
    <w:rsid w:val="4D2A3B31"/>
    <w:rsid w:val="4D312C52"/>
    <w:rsid w:val="4D905305"/>
    <w:rsid w:val="4D964A72"/>
    <w:rsid w:val="4D9C1254"/>
    <w:rsid w:val="4D9E5B15"/>
    <w:rsid w:val="4E793892"/>
    <w:rsid w:val="4E800872"/>
    <w:rsid w:val="4EC569ED"/>
    <w:rsid w:val="4ED50EA1"/>
    <w:rsid w:val="4EEC050C"/>
    <w:rsid w:val="4F104EC3"/>
    <w:rsid w:val="4F47354A"/>
    <w:rsid w:val="4F911C54"/>
    <w:rsid w:val="4FE625E0"/>
    <w:rsid w:val="5021480F"/>
    <w:rsid w:val="505C301C"/>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4C1537"/>
    <w:rsid w:val="53544462"/>
    <w:rsid w:val="5397158E"/>
    <w:rsid w:val="53E325D5"/>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002B6"/>
    <w:rsid w:val="55923347"/>
    <w:rsid w:val="55925180"/>
    <w:rsid w:val="55983B1B"/>
    <w:rsid w:val="55A8376B"/>
    <w:rsid w:val="55DC29B6"/>
    <w:rsid w:val="55DD4241"/>
    <w:rsid w:val="566B6D1E"/>
    <w:rsid w:val="57032A2C"/>
    <w:rsid w:val="570F5219"/>
    <w:rsid w:val="572E78E5"/>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1E264C"/>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AF4E34"/>
    <w:rsid w:val="5ABE2749"/>
    <w:rsid w:val="5AD63A24"/>
    <w:rsid w:val="5AE51A4D"/>
    <w:rsid w:val="5B2E1A1D"/>
    <w:rsid w:val="5B843A1C"/>
    <w:rsid w:val="5B873E3F"/>
    <w:rsid w:val="5C02690E"/>
    <w:rsid w:val="5C196DA7"/>
    <w:rsid w:val="5C2A048C"/>
    <w:rsid w:val="5C4D2220"/>
    <w:rsid w:val="5C80234E"/>
    <w:rsid w:val="5C8A680C"/>
    <w:rsid w:val="5D0C4701"/>
    <w:rsid w:val="5D0F0395"/>
    <w:rsid w:val="5D221076"/>
    <w:rsid w:val="5D397964"/>
    <w:rsid w:val="5D5A391C"/>
    <w:rsid w:val="5D5F10C0"/>
    <w:rsid w:val="5D790E2F"/>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7330CE"/>
    <w:rsid w:val="60825176"/>
    <w:rsid w:val="609F2AC4"/>
    <w:rsid w:val="60FA2EE8"/>
    <w:rsid w:val="61054A27"/>
    <w:rsid w:val="610A52BC"/>
    <w:rsid w:val="610D059B"/>
    <w:rsid w:val="611D2366"/>
    <w:rsid w:val="61421856"/>
    <w:rsid w:val="615227C4"/>
    <w:rsid w:val="61654E3F"/>
    <w:rsid w:val="6182292A"/>
    <w:rsid w:val="619F7F92"/>
    <w:rsid w:val="61F94C26"/>
    <w:rsid w:val="62000E56"/>
    <w:rsid w:val="624F3E49"/>
    <w:rsid w:val="62632286"/>
    <w:rsid w:val="62885958"/>
    <w:rsid w:val="628F285E"/>
    <w:rsid w:val="62F40B65"/>
    <w:rsid w:val="62FC2CFE"/>
    <w:rsid w:val="63024505"/>
    <w:rsid w:val="635600A5"/>
    <w:rsid w:val="635B1DB5"/>
    <w:rsid w:val="63711FED"/>
    <w:rsid w:val="63880DDC"/>
    <w:rsid w:val="638D750D"/>
    <w:rsid w:val="63AC6CC0"/>
    <w:rsid w:val="63F23480"/>
    <w:rsid w:val="64055776"/>
    <w:rsid w:val="641F5B67"/>
    <w:rsid w:val="64240056"/>
    <w:rsid w:val="643E143A"/>
    <w:rsid w:val="64491666"/>
    <w:rsid w:val="648B6EEF"/>
    <w:rsid w:val="64C158BF"/>
    <w:rsid w:val="64CE2EAA"/>
    <w:rsid w:val="653C3090"/>
    <w:rsid w:val="65854376"/>
    <w:rsid w:val="658767BE"/>
    <w:rsid w:val="65892531"/>
    <w:rsid w:val="66195831"/>
    <w:rsid w:val="662E75B1"/>
    <w:rsid w:val="66342C2E"/>
    <w:rsid w:val="663E784C"/>
    <w:rsid w:val="668B6A45"/>
    <w:rsid w:val="67112C4A"/>
    <w:rsid w:val="672F3F24"/>
    <w:rsid w:val="673E055F"/>
    <w:rsid w:val="67551CE3"/>
    <w:rsid w:val="67A22552"/>
    <w:rsid w:val="67B22DCC"/>
    <w:rsid w:val="67BE71AA"/>
    <w:rsid w:val="67CF7323"/>
    <w:rsid w:val="67D90273"/>
    <w:rsid w:val="67DE5875"/>
    <w:rsid w:val="67E55852"/>
    <w:rsid w:val="67EB1AB4"/>
    <w:rsid w:val="67FA1285"/>
    <w:rsid w:val="68551F4F"/>
    <w:rsid w:val="687C10C9"/>
    <w:rsid w:val="68840C16"/>
    <w:rsid w:val="68876EFB"/>
    <w:rsid w:val="68884654"/>
    <w:rsid w:val="689F444F"/>
    <w:rsid w:val="68B96DBB"/>
    <w:rsid w:val="68CA2805"/>
    <w:rsid w:val="68E937A3"/>
    <w:rsid w:val="68FB149A"/>
    <w:rsid w:val="693E15D3"/>
    <w:rsid w:val="69627681"/>
    <w:rsid w:val="6977531D"/>
    <w:rsid w:val="69B431C0"/>
    <w:rsid w:val="69CC2BFF"/>
    <w:rsid w:val="69F3144C"/>
    <w:rsid w:val="69FD55B8"/>
    <w:rsid w:val="6A0B1C62"/>
    <w:rsid w:val="6A16662A"/>
    <w:rsid w:val="6A2406C8"/>
    <w:rsid w:val="6A3B7666"/>
    <w:rsid w:val="6A9A1ADF"/>
    <w:rsid w:val="6ADE0BD1"/>
    <w:rsid w:val="6AE81378"/>
    <w:rsid w:val="6AE96859"/>
    <w:rsid w:val="6B147746"/>
    <w:rsid w:val="6B24787C"/>
    <w:rsid w:val="6B573233"/>
    <w:rsid w:val="6B5B6274"/>
    <w:rsid w:val="6B935D53"/>
    <w:rsid w:val="6C1316F7"/>
    <w:rsid w:val="6C196F71"/>
    <w:rsid w:val="6C226FCB"/>
    <w:rsid w:val="6C31226F"/>
    <w:rsid w:val="6C517EC7"/>
    <w:rsid w:val="6C552F0B"/>
    <w:rsid w:val="6C8C67B7"/>
    <w:rsid w:val="6C9D744C"/>
    <w:rsid w:val="6D167928"/>
    <w:rsid w:val="6D26299B"/>
    <w:rsid w:val="6D4772EC"/>
    <w:rsid w:val="6D9078AF"/>
    <w:rsid w:val="6DA9674D"/>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48279F"/>
    <w:rsid w:val="71D43752"/>
    <w:rsid w:val="71F1796A"/>
    <w:rsid w:val="71FB63D5"/>
    <w:rsid w:val="72154626"/>
    <w:rsid w:val="72262B5D"/>
    <w:rsid w:val="72283FF7"/>
    <w:rsid w:val="722E7212"/>
    <w:rsid w:val="723A0474"/>
    <w:rsid w:val="725923E4"/>
    <w:rsid w:val="72864BF7"/>
    <w:rsid w:val="729023FC"/>
    <w:rsid w:val="73C0646E"/>
    <w:rsid w:val="742222F5"/>
    <w:rsid w:val="74476126"/>
    <w:rsid w:val="74706664"/>
    <w:rsid w:val="747F3682"/>
    <w:rsid w:val="749871C8"/>
    <w:rsid w:val="749C4185"/>
    <w:rsid w:val="75067759"/>
    <w:rsid w:val="752E6DCD"/>
    <w:rsid w:val="7551380D"/>
    <w:rsid w:val="755D394A"/>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B27F6F"/>
    <w:rsid w:val="77D1700D"/>
    <w:rsid w:val="77EC04CC"/>
    <w:rsid w:val="78775729"/>
    <w:rsid w:val="78A42DB0"/>
    <w:rsid w:val="78A656AB"/>
    <w:rsid w:val="78B2245C"/>
    <w:rsid w:val="78E172CC"/>
    <w:rsid w:val="78EA1D1F"/>
    <w:rsid w:val="79036DC3"/>
    <w:rsid w:val="7904172F"/>
    <w:rsid w:val="790F7E27"/>
    <w:rsid w:val="7911045C"/>
    <w:rsid w:val="792A231A"/>
    <w:rsid w:val="79316829"/>
    <w:rsid w:val="797B41A3"/>
    <w:rsid w:val="797E66A9"/>
    <w:rsid w:val="798518A4"/>
    <w:rsid w:val="79A97383"/>
    <w:rsid w:val="79B476B6"/>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0D061F"/>
    <w:rsid w:val="7C254906"/>
    <w:rsid w:val="7C590818"/>
    <w:rsid w:val="7C7C10F6"/>
    <w:rsid w:val="7C853BEA"/>
    <w:rsid w:val="7C881368"/>
    <w:rsid w:val="7CD564F7"/>
    <w:rsid w:val="7CE27788"/>
    <w:rsid w:val="7D0C32F1"/>
    <w:rsid w:val="7D0F408D"/>
    <w:rsid w:val="7D202C1C"/>
    <w:rsid w:val="7D491C6C"/>
    <w:rsid w:val="7D5429C0"/>
    <w:rsid w:val="7D6E6D43"/>
    <w:rsid w:val="7DB57A34"/>
    <w:rsid w:val="7DE60973"/>
    <w:rsid w:val="7DEF0916"/>
    <w:rsid w:val="7E1E5218"/>
    <w:rsid w:val="7E6C679B"/>
    <w:rsid w:val="7E9A4E1F"/>
    <w:rsid w:val="7EA7723A"/>
    <w:rsid w:val="7EF56FBB"/>
    <w:rsid w:val="7F0768EB"/>
    <w:rsid w:val="7F143BEC"/>
    <w:rsid w:val="7F362021"/>
    <w:rsid w:val="7F715AF2"/>
    <w:rsid w:val="7F7B47F9"/>
    <w:rsid w:val="7F886E69"/>
    <w:rsid w:val="BB7FA927"/>
    <w:rsid w:val="EFF72F48"/>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3"/>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7"/>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3"/>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7"/>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7"/>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8"/>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82"/>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semiHidden/>
    <w:unhideWhenUsed/>
    <w:qFormat/>
    <w:uiPriority w:val="1"/>
  </w:style>
  <w:style w:type="table" w:default="1" w:styleId="63">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193"/>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229"/>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202"/>
    <w:qFormat/>
    <w:uiPriority w:val="0"/>
    <w:pPr>
      <w:shd w:val="clear" w:color="auto" w:fill="000080"/>
    </w:pPr>
  </w:style>
  <w:style w:type="paragraph" w:styleId="19">
    <w:name w:val="annotation text"/>
    <w:basedOn w:val="1"/>
    <w:link w:val="344"/>
    <w:qFormat/>
    <w:uiPriority w:val="99"/>
    <w:pPr>
      <w:jc w:val="left"/>
    </w:pPr>
  </w:style>
  <w:style w:type="paragraph" w:styleId="20">
    <w:name w:val="Salutation"/>
    <w:basedOn w:val="1"/>
    <w:next w:val="1"/>
    <w:link w:val="298"/>
    <w:qFormat/>
    <w:uiPriority w:val="0"/>
    <w:rPr>
      <w:rFonts w:ascii="仿宋_GB2312" w:eastAsia="仿宋_GB2312"/>
      <w:sz w:val="28"/>
      <w:szCs w:val="20"/>
    </w:rPr>
  </w:style>
  <w:style w:type="paragraph" w:styleId="21">
    <w:name w:val="Body Text 3"/>
    <w:basedOn w:val="1"/>
    <w:link w:val="330"/>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next w:val="24"/>
    <w:link w:val="430"/>
    <w:qFormat/>
    <w:uiPriority w:val="0"/>
    <w:pPr>
      <w:autoSpaceDE w:val="0"/>
      <w:autoSpaceDN w:val="0"/>
      <w:spacing w:line="360" w:lineRule="auto"/>
    </w:pPr>
    <w:rPr>
      <w:rFonts w:ascii="宋体" w:hAnsi="Arial" w:cs="Arial"/>
      <w:snapToGrid w:val="0"/>
      <w:sz w:val="24"/>
      <w:szCs w:val="21"/>
      <w:lang w:val="zh-CN"/>
    </w:rPr>
  </w:style>
  <w:style w:type="paragraph" w:styleId="24">
    <w:name w:val="Body Text First Indent"/>
    <w:basedOn w:val="23"/>
    <w:next w:val="25"/>
    <w:link w:val="321"/>
    <w:qFormat/>
    <w:uiPriority w:val="0"/>
    <w:pPr>
      <w:ind w:firstLine="420"/>
    </w:pPr>
    <w:rPr>
      <w:rFonts w:hAnsi="Calibri" w:cs="Times New Roman"/>
      <w:snapToGrid/>
      <w:szCs w:val="20"/>
    </w:rPr>
  </w:style>
  <w:style w:type="paragraph" w:styleId="25">
    <w:name w:val="toc 6"/>
    <w:basedOn w:val="1"/>
    <w:next w:val="1"/>
    <w:qFormat/>
    <w:uiPriority w:val="0"/>
    <w:pPr>
      <w:ind w:left="2100" w:leftChars="1000"/>
    </w:pPr>
  </w:style>
  <w:style w:type="paragraph" w:styleId="26">
    <w:name w:val="Body Text Indent"/>
    <w:basedOn w:val="1"/>
    <w:link w:val="265"/>
    <w:qFormat/>
    <w:uiPriority w:val="0"/>
    <w:pPr>
      <w:spacing w:line="480" w:lineRule="exact"/>
      <w:ind w:firstLine="480" w:firstLineChars="200"/>
    </w:pPr>
    <w:rPr>
      <w:rFonts w:ascii="宋体" w:hAnsi="宋体"/>
      <w:sz w:val="24"/>
    </w:rPr>
  </w:style>
  <w:style w:type="paragraph" w:styleId="27">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19"/>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125"/>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181"/>
    <w:qFormat/>
    <w:uiPriority w:val="0"/>
    <w:pPr>
      <w:ind w:left="100" w:leftChars="2500"/>
    </w:pPr>
    <w:rPr>
      <w:rFonts w:ascii="宋体"/>
      <w:sz w:val="24"/>
      <w:szCs w:val="21"/>
      <w:lang w:val="zh-CN"/>
    </w:rPr>
  </w:style>
  <w:style w:type="paragraph" w:styleId="38">
    <w:name w:val="Body Text Indent 2"/>
    <w:basedOn w:val="1"/>
    <w:link w:val="308"/>
    <w:qFormat/>
    <w:uiPriority w:val="0"/>
    <w:pPr>
      <w:spacing w:line="360" w:lineRule="auto"/>
      <w:ind w:firstLine="601"/>
      <w:textAlignment w:val="baseline"/>
    </w:pPr>
    <w:rPr>
      <w:rFonts w:ascii="宋体"/>
      <w:kern w:val="0"/>
      <w:sz w:val="28"/>
      <w:szCs w:val="20"/>
    </w:rPr>
  </w:style>
  <w:style w:type="paragraph" w:styleId="39">
    <w:name w:val="endnote text"/>
    <w:basedOn w:val="1"/>
    <w:link w:val="932"/>
    <w:qFormat/>
    <w:uiPriority w:val="0"/>
    <w:rPr>
      <w:lang w:val="zh-CN"/>
    </w:rPr>
  </w:style>
  <w:style w:type="paragraph" w:styleId="40">
    <w:name w:val="Balloon Text"/>
    <w:basedOn w:val="1"/>
    <w:link w:val="188"/>
    <w:qFormat/>
    <w:uiPriority w:val="0"/>
    <w:rPr>
      <w:sz w:val="18"/>
      <w:szCs w:val="18"/>
    </w:rPr>
  </w:style>
  <w:style w:type="paragraph" w:styleId="41">
    <w:name w:val="footer"/>
    <w:basedOn w:val="1"/>
    <w:link w:val="383"/>
    <w:qFormat/>
    <w:uiPriority w:val="99"/>
    <w:pPr>
      <w:tabs>
        <w:tab w:val="center" w:pos="4153"/>
        <w:tab w:val="right" w:pos="8306"/>
      </w:tabs>
      <w:snapToGrid w:val="0"/>
      <w:jc w:val="left"/>
    </w:pPr>
    <w:rPr>
      <w:sz w:val="18"/>
      <w:szCs w:val="18"/>
    </w:rPr>
  </w:style>
  <w:style w:type="paragraph" w:styleId="42">
    <w:name w:val="header"/>
    <w:basedOn w:val="1"/>
    <w:link w:val="392"/>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5"/>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Subtitle"/>
    <w:link w:val="133"/>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List"/>
    <w:basedOn w:val="1"/>
    <w:qFormat/>
    <w:uiPriority w:val="0"/>
    <w:pPr>
      <w:ind w:left="200" w:hanging="200" w:hangingChars="200"/>
    </w:pPr>
  </w:style>
  <w:style w:type="paragraph" w:styleId="51">
    <w:name w:val="footnote text"/>
    <w:basedOn w:val="5"/>
    <w:link w:val="310"/>
    <w:qFormat/>
    <w:uiPriority w:val="0"/>
    <w:pPr>
      <w:adjustRightInd/>
      <w:snapToGrid/>
      <w:spacing w:before="60" w:after="60" w:line="300" w:lineRule="exact"/>
      <w:ind w:firstLine="0"/>
    </w:pPr>
    <w:rPr>
      <w:rFonts w:ascii="Calibri"/>
      <w:snapToGrid/>
      <w:color w:val="0000FF"/>
      <w:kern w:val="0"/>
      <w:sz w:val="21"/>
    </w:rPr>
  </w:style>
  <w:style w:type="paragraph" w:styleId="52">
    <w:name w:val="List 5"/>
    <w:basedOn w:val="1"/>
    <w:qFormat/>
    <w:uiPriority w:val="0"/>
    <w:pPr>
      <w:adjustRightInd/>
      <w:ind w:left="100" w:leftChars="800" w:hanging="200" w:hangingChars="200"/>
    </w:pPr>
  </w:style>
  <w:style w:type="paragraph" w:styleId="53">
    <w:name w:val="Body Text Indent 3"/>
    <w:basedOn w:val="1"/>
    <w:link w:val="375"/>
    <w:qFormat/>
    <w:uiPriority w:val="0"/>
    <w:pPr>
      <w:spacing w:line="360" w:lineRule="auto"/>
      <w:ind w:firstLine="420"/>
    </w:pPr>
    <w:rPr>
      <w:sz w:val="24"/>
      <w:szCs w:val="20"/>
    </w:rPr>
  </w:style>
  <w:style w:type="paragraph" w:styleId="54">
    <w:name w:val="index 7"/>
    <w:basedOn w:val="1"/>
    <w:next w:val="1"/>
    <w:qFormat/>
    <w:uiPriority w:val="0"/>
    <w:pPr>
      <w:ind w:left="1200" w:leftChars="1200"/>
    </w:p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302"/>
    <w:qFormat/>
    <w:uiPriority w:val="0"/>
    <w:pPr>
      <w:spacing w:after="120" w:line="480" w:lineRule="auto"/>
    </w:pPr>
  </w:style>
  <w:style w:type="paragraph" w:styleId="58">
    <w:name w:val="HTML Preformatted"/>
    <w:basedOn w:val="1"/>
    <w:link w:val="30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286"/>
    <w:qFormat/>
    <w:uiPriority w:val="10"/>
    <w:pPr>
      <w:widowControl/>
      <w:overflowPunct w:val="0"/>
      <w:autoSpaceDE w:val="0"/>
      <w:autoSpaceDN w:val="0"/>
      <w:jc w:val="center"/>
      <w:textAlignment w:val="baseline"/>
    </w:pPr>
    <w:rPr>
      <w:b/>
      <w:kern w:val="0"/>
      <w:sz w:val="24"/>
      <w:szCs w:val="20"/>
      <w:lang w:val="en-GB"/>
    </w:rPr>
  </w:style>
  <w:style w:type="paragraph" w:styleId="61">
    <w:name w:val="annotation subject"/>
    <w:basedOn w:val="19"/>
    <w:next w:val="19"/>
    <w:link w:val="96"/>
    <w:qFormat/>
    <w:uiPriority w:val="0"/>
    <w:rPr>
      <w:b/>
      <w:bCs/>
    </w:rPr>
  </w:style>
  <w:style w:type="paragraph" w:styleId="62">
    <w:name w:val="Body Text First Indent 2"/>
    <w:basedOn w:val="26"/>
    <w:link w:val="121"/>
    <w:qFormat/>
    <w:uiPriority w:val="0"/>
    <w:pPr>
      <w:adjustRightInd/>
      <w:spacing w:after="120" w:line="240" w:lineRule="auto"/>
      <w:ind w:left="420" w:leftChars="200" w:firstLine="210"/>
    </w:pPr>
    <w:rPr>
      <w:sz w:val="21"/>
    </w:rPr>
  </w:style>
  <w:style w:type="table" w:styleId="64">
    <w:name w:val="Table Grid"/>
    <w:basedOn w:val="6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qFormat/>
    <w:uiPriority w:val="22"/>
    <w:rPr>
      <w:b/>
      <w:bCs/>
    </w:rPr>
  </w:style>
  <w:style w:type="character" w:styleId="72">
    <w:name w:val="endnote reference"/>
    <w:qFormat/>
    <w:uiPriority w:val="0"/>
    <w:rPr>
      <w:vertAlign w:val="superscript"/>
    </w:rPr>
  </w:style>
  <w:style w:type="character" w:styleId="73">
    <w:name w:val="page number"/>
    <w:basedOn w:val="70"/>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basedOn w:val="70"/>
    <w:qFormat/>
    <w:uiPriority w:val="0"/>
    <w:rPr>
      <w:rFonts w:ascii="Arial" w:hAnsi="Arial" w:eastAsia="黑体" w:cs="Arial"/>
      <w:snapToGrid w:val="0"/>
      <w:kern w:val="0"/>
      <w:szCs w:val="21"/>
    </w:rPr>
  </w:style>
  <w:style w:type="character" w:styleId="77">
    <w:name w:val="Hyperlink"/>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paragraph" w:customStyle="1" w:styleId="80">
    <w:name w:val="正文空2字"/>
    <w:basedOn w:val="81"/>
    <w:qFormat/>
    <w:uiPriority w:val="99"/>
    <w:pPr>
      <w:widowControl w:val="0"/>
      <w:snapToGrid w:val="0"/>
      <w:spacing w:line="560" w:lineRule="exact"/>
      <w:ind w:firstLine="640" w:firstLineChars="200"/>
    </w:pPr>
    <w:rPr>
      <w:rFonts w:ascii="仿宋_GB2312" w:hAnsi="仿宋_GB2312" w:cs="仿宋_GB2312"/>
      <w:lang w:val="zh-TW"/>
    </w:rPr>
  </w:style>
  <w:style w:type="paragraph" w:customStyle="1" w:styleId="81">
    <w:name w:val="左对齐正文"/>
    <w:qFormat/>
    <w:uiPriority w:val="99"/>
    <w:rPr>
      <w:rFonts w:ascii="Calibri" w:hAnsi="Calibri" w:eastAsia="仿宋_GB2312" w:cs="Calibri"/>
      <w:kern w:val="2"/>
      <w:sz w:val="32"/>
      <w:szCs w:val="32"/>
      <w:lang w:val="en-US" w:eastAsia="zh-CN" w:bidi="ar-SA"/>
    </w:rPr>
  </w:style>
  <w:style w:type="character" w:customStyle="1" w:styleId="82">
    <w:name w:val="表格非标题文字 Char"/>
    <w:link w:val="83"/>
    <w:qFormat/>
    <w:uiPriority w:val="0"/>
    <w:rPr>
      <w:rFonts w:ascii="Futura Bk" w:hAnsi="Futura Bk"/>
      <w:kern w:val="2"/>
      <w:sz w:val="18"/>
      <w:szCs w:val="21"/>
      <w:lang w:val="en-US" w:eastAsia="zh-CN" w:bidi="ar-SA"/>
    </w:rPr>
  </w:style>
  <w:style w:type="paragraph" w:customStyle="1" w:styleId="83">
    <w:name w:val="表格非标题文字"/>
    <w:link w:val="82"/>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4">
    <w:name w:val="*正文 Char"/>
    <w:link w:val="85"/>
    <w:qFormat/>
    <w:locked/>
    <w:uiPriority w:val="0"/>
    <w:rPr>
      <w:rFonts w:ascii="宋体" w:hAnsi="宋体"/>
      <w:sz w:val="24"/>
    </w:rPr>
  </w:style>
  <w:style w:type="paragraph" w:customStyle="1" w:styleId="85">
    <w:name w:val="*正文"/>
    <w:basedOn w:val="1"/>
    <w:link w:val="84"/>
    <w:qFormat/>
    <w:uiPriority w:val="0"/>
    <w:pPr>
      <w:snapToGrid w:val="0"/>
      <w:spacing w:line="360" w:lineRule="auto"/>
      <w:ind w:firstLine="482"/>
      <w:jc w:val="left"/>
    </w:pPr>
    <w:rPr>
      <w:rFonts w:ascii="宋体" w:hAnsi="宋体"/>
      <w:kern w:val="0"/>
      <w:sz w:val="24"/>
      <w:szCs w:val="20"/>
    </w:rPr>
  </w:style>
  <w:style w:type="character" w:customStyle="1" w:styleId="86">
    <w:name w:val="Char Char71"/>
    <w:semiHidden/>
    <w:qFormat/>
    <w:uiPriority w:val="0"/>
    <w:rPr>
      <w:rFonts w:eastAsia="宋体"/>
      <w:kern w:val="2"/>
      <w:sz w:val="21"/>
      <w:szCs w:val="24"/>
      <w:lang w:val="en-US" w:eastAsia="zh-CN" w:bidi="ar-SA"/>
    </w:rPr>
  </w:style>
  <w:style w:type="character" w:customStyle="1" w:styleId="87">
    <w:name w:val="Char Char6"/>
    <w:qFormat/>
    <w:uiPriority w:val="0"/>
    <w:rPr>
      <w:rFonts w:eastAsia="宋体"/>
      <w:kern w:val="2"/>
      <w:sz w:val="21"/>
      <w:szCs w:val="24"/>
      <w:lang w:val="en-US" w:eastAsia="zh-CN" w:bidi="ar-SA"/>
    </w:rPr>
  </w:style>
  <w:style w:type="character" w:customStyle="1" w:styleId="88">
    <w:name w:val="正文缩进 Char"/>
    <w:qFormat/>
    <w:uiPriority w:val="0"/>
    <w:rPr>
      <w:rFonts w:eastAsia="宋体"/>
      <w:kern w:val="2"/>
      <w:sz w:val="21"/>
      <w:lang w:val="en-US" w:eastAsia="zh-CN"/>
    </w:rPr>
  </w:style>
  <w:style w:type="character" w:customStyle="1" w:styleId="89">
    <w:name w:val="正文首行缩进 Char1"/>
    <w:qFormat/>
    <w:uiPriority w:val="0"/>
    <w:rPr>
      <w:rFonts w:ascii="宋体" w:hAnsi="Times New Roman" w:eastAsia="宋体" w:cs="Times New Roman"/>
      <w:snapToGrid w:val="0"/>
      <w:kern w:val="2"/>
      <w:sz w:val="24"/>
      <w:szCs w:val="21"/>
      <w:lang w:val="zh-CN"/>
    </w:rPr>
  </w:style>
  <w:style w:type="character" w:customStyle="1" w:styleId="90">
    <w:name w:val="Char Char28"/>
    <w:qFormat/>
    <w:uiPriority w:val="6"/>
    <w:rPr>
      <w:rFonts w:ascii="仿宋_GB2312" w:hAnsi="仿宋_GB2312" w:eastAsia="仿宋_GB2312"/>
      <w:kern w:val="1"/>
      <w:sz w:val="28"/>
    </w:rPr>
  </w:style>
  <w:style w:type="character" w:customStyle="1" w:styleId="91">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2">
    <w:name w:val="Heading 1 Char"/>
    <w:qFormat/>
    <w:uiPriority w:val="6"/>
    <w:rPr>
      <w:rFonts w:ascii="Times New Roman" w:hAnsi="Times New Roman" w:eastAsia="黑体" w:cs="Times New Roman"/>
      <w:b/>
      <w:kern w:val="0"/>
      <w:sz w:val="24"/>
      <w:szCs w:val="24"/>
    </w:rPr>
  </w:style>
  <w:style w:type="character" w:customStyle="1" w:styleId="93">
    <w:name w:val="U_正文 Char"/>
    <w:link w:val="94"/>
    <w:qFormat/>
    <w:uiPriority w:val="0"/>
    <w:rPr>
      <w:sz w:val="24"/>
      <w:szCs w:val="24"/>
    </w:rPr>
  </w:style>
  <w:style w:type="paragraph" w:customStyle="1" w:styleId="94">
    <w:name w:val="U_正文"/>
    <w:basedOn w:val="1"/>
    <w:link w:val="93"/>
    <w:qFormat/>
    <w:uiPriority w:val="0"/>
    <w:pPr>
      <w:adjustRightInd/>
      <w:spacing w:beforeLines="20" w:afterLines="20" w:line="300" w:lineRule="auto"/>
      <w:ind w:firstLine="200" w:firstLineChars="200"/>
    </w:pPr>
    <w:rPr>
      <w:kern w:val="0"/>
      <w:sz w:val="24"/>
    </w:rPr>
  </w:style>
  <w:style w:type="character" w:customStyle="1" w:styleId="95">
    <w:name w:val="HTML 地址 Char1"/>
    <w:qFormat/>
    <w:uiPriority w:val="0"/>
    <w:rPr>
      <w:rFonts w:ascii="Times New Roman" w:hAnsi="Times New Roman" w:eastAsia="宋体" w:cs="Times New Roman"/>
      <w:i/>
      <w:iCs/>
      <w:szCs w:val="24"/>
    </w:rPr>
  </w:style>
  <w:style w:type="character" w:customStyle="1" w:styleId="96">
    <w:name w:val="批注主题 Char1"/>
    <w:link w:val="61"/>
    <w:qFormat/>
    <w:uiPriority w:val="0"/>
    <w:rPr>
      <w:b/>
      <w:bCs/>
      <w:kern w:val="2"/>
      <w:sz w:val="21"/>
      <w:szCs w:val="24"/>
    </w:rPr>
  </w:style>
  <w:style w:type="character" w:customStyle="1" w:styleId="97">
    <w:name w:val="Char Char51"/>
    <w:qFormat/>
    <w:uiPriority w:val="0"/>
    <w:rPr>
      <w:rFonts w:ascii="宋体" w:hAnsi="Courier New" w:eastAsia="宋体"/>
      <w:kern w:val="2"/>
      <w:sz w:val="21"/>
      <w:lang w:val="en-US" w:eastAsia="zh-CN"/>
    </w:rPr>
  </w:style>
  <w:style w:type="character" w:customStyle="1" w:styleId="98">
    <w:name w:val="表正文 Char"/>
    <w:qFormat/>
    <w:uiPriority w:val="0"/>
    <w:rPr>
      <w:rFonts w:ascii="宋体" w:eastAsia="宋体"/>
      <w:snapToGrid w:val="0"/>
      <w:color w:val="000000"/>
      <w:kern w:val="28"/>
      <w:sz w:val="28"/>
      <w:lang w:val="en-US" w:eastAsia="zh-CN" w:bidi="ar-SA"/>
    </w:rPr>
  </w:style>
  <w:style w:type="character" w:customStyle="1" w:styleId="99">
    <w:name w:val="Char Char34"/>
    <w:qFormat/>
    <w:uiPriority w:val="6"/>
    <w:rPr>
      <w:b/>
      <w:kern w:val="1"/>
      <w:sz w:val="28"/>
      <w:szCs w:val="28"/>
    </w:rPr>
  </w:style>
  <w:style w:type="character" w:customStyle="1" w:styleId="100">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1">
    <w:name w:val="哈哈正文 Char"/>
    <w:link w:val="102"/>
    <w:qFormat/>
    <w:uiPriority w:val="0"/>
    <w:rPr>
      <w:rFonts w:ascii="宋体" w:hAnsi="宋体" w:eastAsia="宋体"/>
      <w:kern w:val="2"/>
      <w:sz w:val="24"/>
      <w:lang w:bidi="ar-SA"/>
    </w:rPr>
  </w:style>
  <w:style w:type="paragraph" w:customStyle="1" w:styleId="102">
    <w:name w:val="哈哈正文"/>
    <w:basedOn w:val="1"/>
    <w:link w:val="101"/>
    <w:qFormat/>
    <w:uiPriority w:val="0"/>
    <w:pPr>
      <w:adjustRightInd/>
      <w:spacing w:line="360" w:lineRule="auto"/>
      <w:ind w:firstLine="200" w:firstLineChars="200"/>
    </w:pPr>
    <w:rPr>
      <w:rFonts w:ascii="宋体" w:hAnsi="宋体"/>
      <w:sz w:val="24"/>
      <w:szCs w:val="20"/>
    </w:rPr>
  </w:style>
  <w:style w:type="character" w:customStyle="1" w:styleId="103">
    <w:name w:val="未处理的提及1"/>
    <w:qFormat/>
    <w:uiPriority w:val="0"/>
    <w:rPr>
      <w:color w:val="808080"/>
      <w:shd w:val="clear" w:color="auto" w:fill="E6E6E6"/>
    </w:rPr>
  </w:style>
  <w:style w:type="character" w:customStyle="1" w:styleId="104">
    <w:name w:val="txt"/>
    <w:qFormat/>
    <w:uiPriority w:val="0"/>
    <w:rPr>
      <w:rFonts w:ascii="仿宋_GB2312" w:eastAsia="微软雅黑"/>
      <w:b/>
      <w:kern w:val="2"/>
      <w:sz w:val="32"/>
      <w:szCs w:val="32"/>
      <w:lang w:val="en-US" w:eastAsia="zh-CN" w:bidi="ar-SA"/>
    </w:rPr>
  </w:style>
  <w:style w:type="character" w:customStyle="1" w:styleId="105">
    <w:name w:val="二级标题 Char Char"/>
    <w:qFormat/>
    <w:uiPriority w:val="0"/>
    <w:rPr>
      <w:rFonts w:ascii="宋体" w:hAnsi="宋体" w:eastAsia="宋体"/>
      <w:b/>
      <w:snapToGrid w:val="0"/>
      <w:kern w:val="2"/>
      <w:sz w:val="24"/>
      <w:szCs w:val="24"/>
      <w:lang w:val="en-US" w:eastAsia="zh-CN" w:bidi="ar-SA"/>
    </w:rPr>
  </w:style>
  <w:style w:type="character" w:customStyle="1" w:styleId="106">
    <w:name w:val="Char Char32"/>
    <w:qFormat/>
    <w:uiPriority w:val="6"/>
    <w:rPr>
      <w:b/>
      <w:kern w:val="1"/>
      <w:sz w:val="24"/>
      <w:szCs w:val="24"/>
    </w:rPr>
  </w:style>
  <w:style w:type="character" w:customStyle="1" w:styleId="107">
    <w:name w:val="PI Char1"/>
    <w:qFormat/>
    <w:uiPriority w:val="0"/>
    <w:rPr>
      <w:rFonts w:ascii="宋体" w:hAnsi="宋体"/>
      <w:kern w:val="2"/>
      <w:sz w:val="24"/>
      <w:szCs w:val="24"/>
    </w:rPr>
  </w:style>
  <w:style w:type="character" w:customStyle="1" w:styleId="108">
    <w:name w:val="tw4winTerm"/>
    <w:qFormat/>
    <w:uiPriority w:val="0"/>
    <w:rPr>
      <w:color w:val="0000FF"/>
    </w:rPr>
  </w:style>
  <w:style w:type="character" w:customStyle="1" w:styleId="109">
    <w:name w:val="Footer Char"/>
    <w:qFormat/>
    <w:locked/>
    <w:uiPriority w:val="0"/>
    <w:rPr>
      <w:rFonts w:eastAsia="宋体"/>
      <w:kern w:val="2"/>
      <w:sz w:val="18"/>
      <w:lang w:val="en-US" w:eastAsia="zh-CN" w:bidi="ar-SA"/>
    </w:rPr>
  </w:style>
  <w:style w:type="character" w:customStyle="1" w:styleId="110">
    <w:name w:val="普通文字 Char Char1"/>
    <w:qFormat/>
    <w:uiPriority w:val="0"/>
    <w:rPr>
      <w:rFonts w:ascii="宋体" w:hAnsi="Courier New"/>
      <w:kern w:val="2"/>
      <w:sz w:val="21"/>
    </w:rPr>
  </w:style>
  <w:style w:type="character" w:customStyle="1" w:styleId="111">
    <w:name w:val="Char Char101"/>
    <w:qFormat/>
    <w:uiPriority w:val="6"/>
    <w:rPr>
      <w:rFonts w:ascii="宋体" w:hAnsi="宋体"/>
      <w:kern w:val="2"/>
      <w:sz w:val="21"/>
      <w:szCs w:val="24"/>
      <w:lang w:val="en-US" w:eastAsia="zh-CN"/>
    </w:rPr>
  </w:style>
  <w:style w:type="character" w:customStyle="1" w:styleId="112">
    <w:name w:val="标题 4 Char"/>
    <w:qFormat/>
    <w:uiPriority w:val="0"/>
    <w:rPr>
      <w:rFonts w:ascii="Arial" w:hAnsi="Arial" w:eastAsia="黑体"/>
      <w:b/>
      <w:kern w:val="2"/>
      <w:sz w:val="28"/>
    </w:rPr>
  </w:style>
  <w:style w:type="character" w:customStyle="1" w:styleId="113">
    <w:name w:val="链接"/>
    <w:qFormat/>
    <w:uiPriority w:val="0"/>
    <w:rPr>
      <w:color w:val="0000FF"/>
      <w:sz w:val="21"/>
      <w:szCs w:val="21"/>
      <w:u w:val="single"/>
    </w:rPr>
  </w:style>
  <w:style w:type="character" w:customStyle="1" w:styleId="114">
    <w:name w:val="h4 Char"/>
    <w:qFormat/>
    <w:uiPriority w:val="0"/>
    <w:rPr>
      <w:rFonts w:ascii="Arial" w:hAnsi="Arial" w:eastAsia="黑体"/>
      <w:b/>
      <w:bCs/>
      <w:kern w:val="2"/>
      <w:sz w:val="28"/>
      <w:szCs w:val="28"/>
      <w:lang w:val="zh-CN" w:eastAsia="zh-CN" w:bidi="ar-SA"/>
    </w:rPr>
  </w:style>
  <w:style w:type="character" w:customStyle="1" w:styleId="115">
    <w:name w:val="5正文 Char"/>
    <w:link w:val="116"/>
    <w:qFormat/>
    <w:uiPriority w:val="0"/>
    <w:rPr>
      <w:rFonts w:ascii="仿宋_GB2312" w:hAnsi="微软雅黑" w:eastAsia="仿宋_GB2312"/>
      <w:sz w:val="28"/>
      <w:szCs w:val="21"/>
    </w:rPr>
  </w:style>
  <w:style w:type="paragraph" w:customStyle="1" w:styleId="116">
    <w:name w:val="5正文"/>
    <w:basedOn w:val="1"/>
    <w:link w:val="115"/>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7">
    <w:name w:val="标题 3 字符"/>
    <w:qFormat/>
    <w:uiPriority w:val="9"/>
    <w:rPr>
      <w:b/>
      <w:bCs/>
      <w:kern w:val="2"/>
      <w:sz w:val="32"/>
      <w:szCs w:val="32"/>
    </w:rPr>
  </w:style>
  <w:style w:type="character" w:customStyle="1" w:styleId="118">
    <w:name w:val="样式6 Char"/>
    <w:qFormat/>
    <w:uiPriority w:val="0"/>
    <w:rPr>
      <w:rFonts w:ascii="仿宋_GB2312" w:hAnsi="宋体" w:eastAsia="仿宋_GB2312"/>
      <w:b/>
      <w:bCs/>
      <w:kern w:val="2"/>
      <w:sz w:val="24"/>
      <w:szCs w:val="24"/>
      <w:lang w:val="en-US" w:eastAsia="zh-CN" w:bidi="ar-SA"/>
    </w:rPr>
  </w:style>
  <w:style w:type="character" w:customStyle="1" w:styleId="119">
    <w:name w:val="Char Char14"/>
    <w:qFormat/>
    <w:uiPriority w:val="6"/>
    <w:rPr>
      <w:rFonts w:ascii="黑体" w:hAnsi="黑体" w:eastAsia="黑体"/>
    </w:rPr>
  </w:style>
  <w:style w:type="character" w:customStyle="1" w:styleId="120">
    <w:name w:val="Heading 2 Hidden Char"/>
    <w:qFormat/>
    <w:uiPriority w:val="0"/>
    <w:rPr>
      <w:rFonts w:ascii="仿宋_GB2312" w:eastAsia="仿宋_GB2312"/>
      <w:b/>
      <w:bCs/>
      <w:kern w:val="2"/>
      <w:sz w:val="24"/>
      <w:szCs w:val="24"/>
      <w:lang w:val="zh-CN" w:eastAsia="zh-CN" w:bidi="ar-SA"/>
    </w:rPr>
  </w:style>
  <w:style w:type="character" w:customStyle="1" w:styleId="121">
    <w:name w:val="正文首行缩进 2 Char"/>
    <w:link w:val="62"/>
    <w:qFormat/>
    <w:uiPriority w:val="0"/>
    <w:rPr>
      <w:rFonts w:ascii="宋体" w:hAnsi="宋体"/>
      <w:kern w:val="2"/>
      <w:sz w:val="21"/>
      <w:szCs w:val="24"/>
    </w:rPr>
  </w:style>
  <w:style w:type="character" w:customStyle="1" w:styleId="122">
    <w:name w:val="font11"/>
    <w:qFormat/>
    <w:uiPriority w:val="0"/>
    <w:rPr>
      <w:rFonts w:hint="default" w:ascii="Times New Roman" w:hAnsi="Times New Roman" w:cs="Times New Roman"/>
      <w:color w:val="000000"/>
      <w:sz w:val="22"/>
      <w:szCs w:val="22"/>
      <w:u w:val="none"/>
    </w:rPr>
  </w:style>
  <w:style w:type="character" w:customStyle="1" w:styleId="123">
    <w:name w:val="表正文 Char1"/>
    <w:qFormat/>
    <w:uiPriority w:val="0"/>
    <w:rPr>
      <w:rFonts w:ascii="宋体" w:eastAsia="宋体"/>
      <w:snapToGrid w:val="0"/>
      <w:color w:val="000000"/>
      <w:kern w:val="28"/>
      <w:sz w:val="28"/>
    </w:rPr>
  </w:style>
  <w:style w:type="character" w:customStyle="1" w:styleId="124">
    <w:name w:val="blue1"/>
    <w:basedOn w:val="70"/>
    <w:qFormat/>
    <w:uiPriority w:val="0"/>
    <w:rPr>
      <w:rFonts w:ascii="Arial" w:hAnsi="Arial" w:eastAsia="黑体" w:cs="Arial"/>
      <w:snapToGrid w:val="0"/>
      <w:kern w:val="0"/>
      <w:szCs w:val="21"/>
    </w:rPr>
  </w:style>
  <w:style w:type="character" w:customStyle="1" w:styleId="125">
    <w:name w:val="纯文本 Char"/>
    <w:link w:val="34"/>
    <w:qFormat/>
    <w:uiPriority w:val="0"/>
    <w:rPr>
      <w:rFonts w:ascii="宋体" w:hAnsi="Courier New" w:eastAsia="宋体" w:cs="Arial"/>
      <w:snapToGrid w:val="0"/>
      <w:kern w:val="2"/>
      <w:sz w:val="21"/>
      <w:szCs w:val="21"/>
      <w:lang w:val="en-US" w:eastAsia="zh-CN" w:bidi="ar-SA"/>
    </w:rPr>
  </w:style>
  <w:style w:type="character" w:customStyle="1" w:styleId="126">
    <w:name w:val="标书1 Char"/>
    <w:qFormat/>
    <w:uiPriority w:val="0"/>
    <w:rPr>
      <w:rFonts w:eastAsia="宋体"/>
      <w:b/>
      <w:bCs/>
      <w:kern w:val="44"/>
      <w:sz w:val="44"/>
      <w:szCs w:val="44"/>
      <w:lang w:val="en-US" w:eastAsia="zh-CN" w:bidi="ar-SA"/>
    </w:rPr>
  </w:style>
  <w:style w:type="character" w:customStyle="1" w:styleId="127">
    <w:name w:val="样式5 Char"/>
    <w:qFormat/>
    <w:uiPriority w:val="0"/>
    <w:rPr>
      <w:rFonts w:ascii="仿宋_GB2312" w:hAnsi="仿宋" w:eastAsia="仿宋_GB2312"/>
      <w:kern w:val="2"/>
      <w:sz w:val="24"/>
      <w:szCs w:val="24"/>
    </w:rPr>
  </w:style>
  <w:style w:type="character" w:customStyle="1" w:styleId="128">
    <w:name w:val="样式4 Char"/>
    <w:qFormat/>
    <w:uiPriority w:val="0"/>
    <w:rPr>
      <w:rFonts w:ascii="仿宋_GB2312" w:hAnsi="仿宋" w:eastAsia="仿宋_GB2312"/>
      <w:b/>
      <w:kern w:val="2"/>
      <w:sz w:val="32"/>
      <w:szCs w:val="32"/>
      <w:lang w:bidi="ar-SA"/>
    </w:rPr>
  </w:style>
  <w:style w:type="character" w:customStyle="1" w:styleId="129">
    <w:name w:val="插图说明 Char"/>
    <w:qFormat/>
    <w:uiPriority w:val="0"/>
    <w:rPr>
      <w:rFonts w:eastAsia="黑体"/>
      <w:sz w:val="24"/>
      <w:lang w:val="en-US" w:eastAsia="zh-CN"/>
    </w:rPr>
  </w:style>
  <w:style w:type="character" w:customStyle="1" w:styleId="130">
    <w:name w:val="正文2 Char Char"/>
    <w:link w:val="131"/>
    <w:qFormat/>
    <w:uiPriority w:val="0"/>
    <w:rPr>
      <w:rFonts w:eastAsia="宋体"/>
      <w:kern w:val="2"/>
      <w:sz w:val="24"/>
      <w:lang w:val="en-US" w:eastAsia="zh-CN" w:bidi="ar-SA"/>
    </w:rPr>
  </w:style>
  <w:style w:type="paragraph" w:customStyle="1" w:styleId="131">
    <w:name w:val="正文2"/>
    <w:basedOn w:val="1"/>
    <w:link w:val="130"/>
    <w:qFormat/>
    <w:uiPriority w:val="0"/>
    <w:pPr>
      <w:spacing w:before="156" w:line="360" w:lineRule="auto"/>
      <w:ind w:firstLine="510" w:firstLineChars="200"/>
    </w:pPr>
    <w:rPr>
      <w:sz w:val="24"/>
      <w:szCs w:val="20"/>
    </w:rPr>
  </w:style>
  <w:style w:type="character" w:customStyle="1" w:styleId="132">
    <w:name w:val="Char Char24"/>
    <w:qFormat/>
    <w:uiPriority w:val="6"/>
    <w:rPr>
      <w:kern w:val="1"/>
      <w:sz w:val="21"/>
    </w:rPr>
  </w:style>
  <w:style w:type="character" w:customStyle="1" w:styleId="133">
    <w:name w:val="副标题 Char"/>
    <w:link w:val="48"/>
    <w:qFormat/>
    <w:uiPriority w:val="0"/>
    <w:rPr>
      <w:rFonts w:ascii="Arial" w:hAnsi="Arial" w:eastAsia="隶书"/>
      <w:b/>
      <w:bCs/>
      <w:kern w:val="28"/>
      <w:sz w:val="44"/>
      <w:szCs w:val="32"/>
      <w:lang w:val="en-US" w:eastAsia="zh-CN" w:bidi="ar-SA"/>
    </w:rPr>
  </w:style>
  <w:style w:type="character" w:customStyle="1" w:styleId="134">
    <w:name w:val="普通文字 Char1 Char"/>
    <w:qFormat/>
    <w:uiPriority w:val="0"/>
    <w:rPr>
      <w:rFonts w:ascii="宋体" w:hAnsi="Courier New" w:eastAsia="宋体"/>
      <w:kern w:val="2"/>
      <w:sz w:val="21"/>
      <w:szCs w:val="24"/>
      <w:lang w:val="en-US" w:eastAsia="zh-CN" w:bidi="ar-SA"/>
    </w:rPr>
  </w:style>
  <w:style w:type="character" w:customStyle="1" w:styleId="135">
    <w:name w:val="h3 Char1"/>
    <w:qFormat/>
    <w:uiPriority w:val="0"/>
    <w:rPr>
      <w:rFonts w:eastAsia="宋体"/>
      <w:b/>
      <w:bCs/>
      <w:kern w:val="2"/>
      <w:sz w:val="32"/>
      <w:szCs w:val="32"/>
      <w:lang w:bidi="ar-SA"/>
    </w:rPr>
  </w:style>
  <w:style w:type="character" w:customStyle="1" w:styleId="136">
    <w:name w:val="标题 Char1"/>
    <w:qFormat/>
    <w:uiPriority w:val="0"/>
    <w:rPr>
      <w:rFonts w:ascii="Cambria" w:hAnsi="Cambria" w:eastAsia="宋体" w:cs="Times New Roman"/>
      <w:b/>
      <w:bCs/>
      <w:sz w:val="32"/>
      <w:szCs w:val="32"/>
      <w:lang w:bidi="ar-SA"/>
    </w:rPr>
  </w:style>
  <w:style w:type="character" w:customStyle="1" w:styleId="137">
    <w:name w:val="gf正文1 Char"/>
    <w:qFormat/>
    <w:uiPriority w:val="0"/>
    <w:rPr>
      <w:rFonts w:ascii="宋体" w:hAnsi="宋体" w:eastAsia="宋体" w:cs="宋体"/>
      <w:kern w:val="2"/>
      <w:sz w:val="24"/>
      <w:szCs w:val="24"/>
      <w:lang w:val="en-US" w:eastAsia="zh-CN" w:bidi="ar-SA"/>
    </w:rPr>
  </w:style>
  <w:style w:type="character" w:customStyle="1" w:styleId="138">
    <w:name w:val="正文文本缩进 Char1"/>
    <w:qFormat/>
    <w:uiPriority w:val="0"/>
    <w:rPr>
      <w:rFonts w:ascii="Calibri" w:hAnsi="Calibri"/>
      <w:sz w:val="28"/>
    </w:rPr>
  </w:style>
  <w:style w:type="character" w:customStyle="1" w:styleId="139">
    <w:name w:val="No Spacing Char"/>
    <w:link w:val="140"/>
    <w:qFormat/>
    <w:uiPriority w:val="1"/>
    <w:rPr>
      <w:sz w:val="22"/>
      <w:szCs w:val="22"/>
      <w:lang w:val="en-US" w:eastAsia="zh-CN" w:bidi="ar-SA"/>
    </w:rPr>
  </w:style>
  <w:style w:type="paragraph" w:customStyle="1" w:styleId="140">
    <w:name w:val="无间隔1"/>
    <w:link w:val="139"/>
    <w:qFormat/>
    <w:uiPriority w:val="1"/>
    <w:rPr>
      <w:rFonts w:ascii="Times New Roman" w:hAnsi="Times New Roman" w:eastAsia="宋体" w:cs="Times New Roman"/>
      <w:sz w:val="22"/>
      <w:szCs w:val="22"/>
      <w:lang w:val="en-US" w:eastAsia="zh-CN" w:bidi="ar-SA"/>
    </w:rPr>
  </w:style>
  <w:style w:type="character" w:customStyle="1" w:styleId="141">
    <w:name w:val="样式7 Char"/>
    <w:qFormat/>
    <w:uiPriority w:val="0"/>
    <w:rPr>
      <w:rFonts w:ascii="仿宋_GB2312" w:hAnsi="仿宋" w:eastAsia="仿宋_GB2312"/>
      <w:b/>
      <w:kern w:val="2"/>
      <w:sz w:val="24"/>
      <w:szCs w:val="24"/>
    </w:rPr>
  </w:style>
  <w:style w:type="character" w:customStyle="1" w:styleId="142">
    <w:name w:val="font12gray1"/>
    <w:qFormat/>
    <w:uiPriority w:val="0"/>
    <w:rPr>
      <w:rFonts w:ascii="仿宋_GB2312" w:eastAsia="微软雅黑"/>
      <w:b/>
      <w:spacing w:val="300"/>
      <w:kern w:val="2"/>
      <w:sz w:val="18"/>
      <w:szCs w:val="18"/>
      <w:lang w:val="en-US" w:eastAsia="zh-CN" w:bidi="ar-SA"/>
    </w:rPr>
  </w:style>
  <w:style w:type="character" w:customStyle="1" w:styleId="143">
    <w:name w:val="Char Char7"/>
    <w:semiHidden/>
    <w:qFormat/>
    <w:uiPriority w:val="0"/>
    <w:rPr>
      <w:rFonts w:eastAsia="宋体"/>
      <w:kern w:val="2"/>
      <w:sz w:val="21"/>
      <w:szCs w:val="24"/>
      <w:lang w:val="en-US" w:eastAsia="zh-CN" w:bidi="ar-SA"/>
    </w:rPr>
  </w:style>
  <w:style w:type="character" w:customStyle="1" w:styleId="144">
    <w:name w:val="表名 Char"/>
    <w:qFormat/>
    <w:uiPriority w:val="0"/>
    <w:rPr>
      <w:rFonts w:eastAsia="宋体"/>
      <w:b/>
      <w:bCs/>
      <w:kern w:val="2"/>
      <w:sz w:val="24"/>
      <w:szCs w:val="24"/>
      <w:lang w:val="en-US" w:eastAsia="zh-CN" w:bidi="ar-SA"/>
    </w:rPr>
  </w:style>
  <w:style w:type="character" w:customStyle="1" w:styleId="145">
    <w:name w:val="Document Map Char"/>
    <w:qFormat/>
    <w:locked/>
    <w:uiPriority w:val="0"/>
    <w:rPr>
      <w:rFonts w:eastAsia="宋体"/>
      <w:kern w:val="2"/>
      <w:sz w:val="21"/>
      <w:szCs w:val="24"/>
      <w:lang w:val="en-US" w:eastAsia="zh-CN" w:bidi="ar-SA"/>
    </w:rPr>
  </w:style>
  <w:style w:type="character" w:customStyle="1" w:styleId="146">
    <w:name w:val="font41"/>
    <w:qFormat/>
    <w:uiPriority w:val="0"/>
    <w:rPr>
      <w:rFonts w:hint="eastAsia" w:ascii="仿宋_GB2312" w:eastAsia="仿宋_GB2312" w:cs="仿宋_GB2312"/>
      <w:color w:val="000000"/>
      <w:sz w:val="22"/>
      <w:szCs w:val="22"/>
      <w:u w:val="none"/>
    </w:rPr>
  </w:style>
  <w:style w:type="character" w:customStyle="1" w:styleId="147">
    <w:name w:val="标题 6 Char"/>
    <w:link w:val="8"/>
    <w:qFormat/>
    <w:uiPriority w:val="0"/>
    <w:rPr>
      <w:rFonts w:ascii="Arial" w:hAnsi="Arial" w:eastAsia="黑体"/>
      <w:b/>
      <w:bCs/>
      <w:kern w:val="2"/>
      <w:sz w:val="24"/>
      <w:szCs w:val="24"/>
    </w:rPr>
  </w:style>
  <w:style w:type="character" w:customStyle="1" w:styleId="148">
    <w:name w:val="纯文本 Char_0"/>
    <w:link w:val="149"/>
    <w:qFormat/>
    <w:uiPriority w:val="0"/>
    <w:rPr>
      <w:rFonts w:ascii="宋体" w:hAnsi="Courier New"/>
      <w:kern w:val="2"/>
      <w:sz w:val="21"/>
      <w:szCs w:val="21"/>
      <w:lang w:val="en-US" w:eastAsia="zh-CN"/>
    </w:rPr>
  </w:style>
  <w:style w:type="paragraph" w:customStyle="1" w:styleId="149">
    <w:name w:val="纯文本_0_0"/>
    <w:basedOn w:val="150"/>
    <w:link w:val="148"/>
    <w:qFormat/>
    <w:uiPriority w:val="0"/>
    <w:rPr>
      <w:rFonts w:ascii="宋体" w:hAnsi="Courier New"/>
      <w:szCs w:val="21"/>
    </w:rPr>
  </w:style>
  <w:style w:type="paragraph" w:customStyle="1" w:styleId="150">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1">
    <w:name w:val="Balloon Text Char"/>
    <w:qFormat/>
    <w:locked/>
    <w:uiPriority w:val="0"/>
    <w:rPr>
      <w:rFonts w:eastAsia="宋体"/>
      <w:kern w:val="2"/>
      <w:sz w:val="18"/>
      <w:szCs w:val="18"/>
      <w:lang w:val="en-US" w:eastAsia="zh-CN" w:bidi="ar-SA"/>
    </w:rPr>
  </w:style>
  <w:style w:type="character" w:customStyle="1" w:styleId="152">
    <w:name w:val="正文 项目2 Char"/>
    <w:basedOn w:val="153"/>
    <w:qFormat/>
    <w:uiPriority w:val="0"/>
    <w:rPr>
      <w:rFonts w:ascii="仿宋_GB2312" w:hAnsi="仿宋_GB2312" w:eastAsia="仿宋_GB2312"/>
      <w:kern w:val="2"/>
      <w:sz w:val="24"/>
      <w:lang w:bidi="ar-SA"/>
    </w:rPr>
  </w:style>
  <w:style w:type="character" w:customStyle="1" w:styleId="153">
    <w:name w:val="正文 项目 Char"/>
    <w:qFormat/>
    <w:uiPriority w:val="0"/>
    <w:rPr>
      <w:rFonts w:ascii="仿宋_GB2312" w:hAnsi="仿宋_GB2312" w:eastAsia="仿宋_GB2312"/>
      <w:kern w:val="2"/>
      <w:sz w:val="24"/>
      <w:lang w:bidi="ar-SA"/>
    </w:rPr>
  </w:style>
  <w:style w:type="character" w:customStyle="1" w:styleId="154">
    <w:name w:val="h Char Char1"/>
    <w:qFormat/>
    <w:uiPriority w:val="0"/>
    <w:rPr>
      <w:rFonts w:eastAsia="宋体"/>
      <w:kern w:val="2"/>
      <w:sz w:val="18"/>
      <w:szCs w:val="18"/>
      <w:lang w:val="en-US" w:eastAsia="zh-CN" w:bidi="ar-SA"/>
    </w:rPr>
  </w:style>
  <w:style w:type="character" w:customStyle="1" w:styleId="155">
    <w:name w:val="Char Char27"/>
    <w:qFormat/>
    <w:uiPriority w:val="6"/>
    <w:rPr>
      <w:rFonts w:ascii="宋体" w:hAnsi="宋体" w:eastAsia="宋体"/>
      <w:color w:val="000000"/>
      <w:kern w:val="1"/>
      <w:sz w:val="28"/>
      <w:lang w:val="en-US" w:eastAsia="zh-CN" w:bidi="ar-SA"/>
    </w:rPr>
  </w:style>
  <w:style w:type="character" w:customStyle="1" w:styleId="156">
    <w:name w:val="px14"/>
    <w:qFormat/>
    <w:uiPriority w:val="0"/>
    <w:rPr>
      <w:rFonts w:ascii="仿宋_GB2312" w:eastAsia="微软雅黑" w:cs="Times New Roman"/>
      <w:b/>
      <w:kern w:val="2"/>
      <w:sz w:val="32"/>
      <w:szCs w:val="32"/>
      <w:lang w:val="en-US" w:eastAsia="zh-CN" w:bidi="ar-SA"/>
    </w:rPr>
  </w:style>
  <w:style w:type="character" w:customStyle="1" w:styleId="157">
    <w:name w:val="HTML 预设格式 Char1"/>
    <w:qFormat/>
    <w:uiPriority w:val="0"/>
    <w:rPr>
      <w:rFonts w:ascii="Courier New" w:hAnsi="Courier New" w:eastAsia="宋体" w:cs="Courier New"/>
      <w:sz w:val="20"/>
      <w:szCs w:val="20"/>
    </w:rPr>
  </w:style>
  <w:style w:type="character" w:customStyle="1" w:styleId="158">
    <w:name w:val="普通文字 Char1"/>
    <w:qFormat/>
    <w:uiPriority w:val="0"/>
    <w:rPr>
      <w:rFonts w:ascii="宋体" w:hAnsi="Courier New" w:eastAsia="宋体"/>
      <w:kern w:val="2"/>
      <w:sz w:val="21"/>
      <w:lang w:val="en-US" w:eastAsia="zh-CN"/>
    </w:rPr>
  </w:style>
  <w:style w:type="character" w:customStyle="1" w:styleId="159">
    <w:name w:val="hei16b1"/>
    <w:qFormat/>
    <w:uiPriority w:val="0"/>
    <w:rPr>
      <w:rFonts w:hint="default" w:ascii="Arial" w:hAnsi="Arial" w:cs="Arial"/>
      <w:b/>
      <w:bCs/>
      <w:color w:val="000000"/>
      <w:sz w:val="24"/>
      <w:szCs w:val="24"/>
    </w:rPr>
  </w:style>
  <w:style w:type="character" w:customStyle="1" w:styleId="160">
    <w:name w:val="正文（绿盟科技） Char"/>
    <w:link w:val="161"/>
    <w:qFormat/>
    <w:uiPriority w:val="0"/>
    <w:rPr>
      <w:rFonts w:ascii="Arial" w:hAnsi="Arial"/>
      <w:sz w:val="21"/>
      <w:szCs w:val="21"/>
    </w:rPr>
  </w:style>
  <w:style w:type="paragraph" w:customStyle="1" w:styleId="161">
    <w:name w:val="正文（绿盟科技）"/>
    <w:link w:val="160"/>
    <w:qFormat/>
    <w:uiPriority w:val="0"/>
    <w:pPr>
      <w:spacing w:line="300" w:lineRule="auto"/>
    </w:pPr>
    <w:rPr>
      <w:rFonts w:ascii="Arial" w:hAnsi="Arial" w:eastAsia="宋体" w:cs="Times New Roman"/>
      <w:sz w:val="21"/>
      <w:szCs w:val="21"/>
      <w:lang w:val="en-US" w:eastAsia="zh-CN" w:bidi="ar-SA"/>
    </w:rPr>
  </w:style>
  <w:style w:type="character" w:customStyle="1" w:styleId="162">
    <w:name w:val="Char Char19"/>
    <w:qFormat/>
    <w:uiPriority w:val="6"/>
    <w:rPr>
      <w:rFonts w:ascii="宋体" w:hAnsi="宋体"/>
      <w:i/>
      <w:sz w:val="24"/>
      <w:szCs w:val="24"/>
    </w:rPr>
  </w:style>
  <w:style w:type="character" w:customStyle="1" w:styleId="163">
    <w:name w:val="页脚 Char"/>
    <w:qFormat/>
    <w:uiPriority w:val="0"/>
    <w:rPr>
      <w:rFonts w:eastAsia="仿宋_GB2312"/>
      <w:kern w:val="2"/>
      <w:sz w:val="18"/>
      <w:lang w:val="en-US" w:eastAsia="zh-CN"/>
    </w:rPr>
  </w:style>
  <w:style w:type="character" w:customStyle="1" w:styleId="164">
    <w:name w:val="批注主题 Char"/>
    <w:qFormat/>
    <w:uiPriority w:val="0"/>
    <w:rPr>
      <w:rFonts w:eastAsia="宋体"/>
      <w:b/>
      <w:bCs/>
      <w:kern w:val="2"/>
      <w:sz w:val="21"/>
      <w:szCs w:val="24"/>
      <w:lang w:val="en-US" w:eastAsia="zh-CN" w:bidi="ar-SA"/>
    </w:rPr>
  </w:style>
  <w:style w:type="character" w:customStyle="1" w:styleId="165">
    <w:name w:val="Comment Text Char"/>
    <w:qFormat/>
    <w:locked/>
    <w:uiPriority w:val="0"/>
    <w:rPr>
      <w:rFonts w:ascii="宋体" w:hAnsi="宋体" w:eastAsia="宋体"/>
      <w:kern w:val="2"/>
      <w:sz w:val="24"/>
      <w:lang w:val="en-US" w:eastAsia="zh-CN" w:bidi="ar-SA"/>
    </w:rPr>
  </w:style>
  <w:style w:type="character" w:customStyle="1" w:styleId="166">
    <w:name w:val="标题 2 字符"/>
    <w:qFormat/>
    <w:uiPriority w:val="1"/>
    <w:rPr>
      <w:rFonts w:ascii="仿宋_GB2312" w:hAnsi="Times New Roman" w:eastAsia="仿宋_GB2312" w:cs="Times New Roman"/>
      <w:b/>
      <w:kern w:val="2"/>
      <w:sz w:val="24"/>
      <w:lang w:val="zh-CN"/>
    </w:rPr>
  </w:style>
  <w:style w:type="character" w:customStyle="1" w:styleId="167">
    <w:name w:val="Char Char72"/>
    <w:qFormat/>
    <w:uiPriority w:val="0"/>
    <w:rPr>
      <w:rFonts w:eastAsia="宋体"/>
      <w:kern w:val="2"/>
      <w:sz w:val="21"/>
      <w:szCs w:val="24"/>
      <w:lang w:val="en-US" w:eastAsia="zh-CN" w:bidi="ar-SA"/>
    </w:rPr>
  </w:style>
  <w:style w:type="character" w:customStyle="1" w:styleId="168">
    <w:name w:val="正文文本缩进 Char2"/>
    <w:qFormat/>
    <w:uiPriority w:val="0"/>
    <w:rPr>
      <w:rFonts w:ascii="Times New Roman" w:hAnsi="Times New Roman" w:eastAsia="宋体" w:cs="Times New Roman"/>
      <w:snapToGrid w:val="0"/>
      <w:kern w:val="0"/>
      <w:szCs w:val="24"/>
    </w:rPr>
  </w:style>
  <w:style w:type="character" w:customStyle="1" w:styleId="169">
    <w:name w:val="样式2 Char"/>
    <w:qFormat/>
    <w:uiPriority w:val="0"/>
    <w:rPr>
      <w:rFonts w:ascii="仿宋_GB2312" w:hAnsi="仿宋" w:eastAsia="仿宋_GB2312" w:cs="仿宋_GB2312"/>
      <w:b/>
      <w:bCs/>
      <w:sz w:val="32"/>
      <w:szCs w:val="30"/>
      <w:lang w:val="zh-CN"/>
    </w:rPr>
  </w:style>
  <w:style w:type="character" w:customStyle="1" w:styleId="170">
    <w:name w:val="表格名称[858D7CFB-ED40-4347-BF05-701D383B685F]"/>
    <w:link w:val="171"/>
    <w:qFormat/>
    <w:uiPriority w:val="0"/>
    <w:rPr>
      <w:sz w:val="32"/>
    </w:rPr>
  </w:style>
  <w:style w:type="paragraph" w:customStyle="1" w:styleId="171">
    <w:name w:val="表格名称"/>
    <w:basedOn w:val="3"/>
    <w:link w:val="170"/>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2">
    <w:name w:val="Char Char4"/>
    <w:qFormat/>
    <w:uiPriority w:val="0"/>
    <w:rPr>
      <w:rFonts w:eastAsia="宋体"/>
      <w:b/>
      <w:sz w:val="24"/>
      <w:lang w:val="en-GB" w:eastAsia="zh-CN" w:bidi="ar-SA"/>
    </w:rPr>
  </w:style>
  <w:style w:type="character" w:customStyle="1" w:styleId="173">
    <w:name w:val="c7 style3"/>
    <w:qFormat/>
    <w:uiPriority w:val="0"/>
  </w:style>
  <w:style w:type="character" w:customStyle="1" w:styleId="174">
    <w:name w:val="正文文本 3 Char1"/>
    <w:semiHidden/>
    <w:qFormat/>
    <w:uiPriority w:val="99"/>
    <w:rPr>
      <w:rFonts w:ascii="Times New Roman" w:hAnsi="Times New Roman" w:eastAsia="宋体" w:cs="Times New Roman"/>
      <w:sz w:val="16"/>
      <w:szCs w:val="16"/>
    </w:rPr>
  </w:style>
  <w:style w:type="character" w:customStyle="1" w:styleId="175">
    <w:name w:val="tw4winInternal"/>
    <w:qFormat/>
    <w:uiPriority w:val="0"/>
    <w:rPr>
      <w:rFonts w:ascii="Courier New" w:hAnsi="Courier New" w:cs="Courier New"/>
      <w:color w:val="FF0000"/>
      <w:lang w:val="en-US" w:eastAsia="zh-CN"/>
    </w:rPr>
  </w:style>
  <w:style w:type="character" w:customStyle="1" w:styleId="176">
    <w:name w:val="Char Char10"/>
    <w:semiHidden/>
    <w:qFormat/>
    <w:uiPriority w:val="0"/>
    <w:rPr>
      <w:rFonts w:ascii="宋体" w:hAnsi="宋体"/>
      <w:kern w:val="2"/>
      <w:sz w:val="21"/>
      <w:szCs w:val="24"/>
      <w:lang w:val="en-US" w:eastAsia="zh-CN"/>
    </w:rPr>
  </w:style>
  <w:style w:type="character" w:customStyle="1" w:styleId="177">
    <w:name w:val="shadow11"/>
    <w:qFormat/>
    <w:uiPriority w:val="0"/>
    <w:rPr>
      <w:color w:val="000000"/>
      <w:sz w:val="21"/>
    </w:rPr>
  </w:style>
  <w:style w:type="character" w:customStyle="1" w:styleId="178">
    <w:name w:val="正文非缩进 Char3"/>
    <w:qFormat/>
    <w:uiPriority w:val="0"/>
    <w:rPr>
      <w:rFonts w:ascii="宋体" w:eastAsia="宋体"/>
      <w:snapToGrid w:val="0"/>
      <w:color w:val="000000"/>
      <w:kern w:val="28"/>
      <w:sz w:val="28"/>
      <w:lang w:val="en-US" w:eastAsia="zh-CN" w:bidi="ar-SA"/>
    </w:rPr>
  </w:style>
  <w:style w:type="character" w:customStyle="1" w:styleId="179">
    <w:name w:val="Char Char"/>
    <w:qFormat/>
    <w:uiPriority w:val="0"/>
    <w:rPr>
      <w:rFonts w:ascii="宋体" w:hAnsi="Courier New" w:eastAsia="宋体"/>
      <w:kern w:val="2"/>
      <w:sz w:val="21"/>
      <w:lang w:val="en-US" w:eastAsia="zh-CN" w:bidi="ar-SA"/>
    </w:rPr>
  </w:style>
  <w:style w:type="character" w:customStyle="1" w:styleId="180">
    <w:name w:val="签名 Char1"/>
    <w:qFormat/>
    <w:uiPriority w:val="0"/>
    <w:rPr>
      <w:rFonts w:ascii="Times New Roman" w:hAnsi="Times New Roman" w:eastAsia="宋体" w:cs="Times New Roman"/>
      <w:szCs w:val="24"/>
    </w:rPr>
  </w:style>
  <w:style w:type="character" w:customStyle="1" w:styleId="181">
    <w:name w:val="日期 Char"/>
    <w:link w:val="37"/>
    <w:qFormat/>
    <w:uiPriority w:val="0"/>
    <w:rPr>
      <w:rFonts w:ascii="宋体"/>
      <w:kern w:val="2"/>
      <w:sz w:val="24"/>
      <w:szCs w:val="21"/>
      <w:lang w:val="zh-CN"/>
    </w:rPr>
  </w:style>
  <w:style w:type="character" w:customStyle="1" w:styleId="182">
    <w:name w:val="标题 9 Char"/>
    <w:link w:val="11"/>
    <w:qFormat/>
    <w:uiPriority w:val="0"/>
    <w:rPr>
      <w:rFonts w:ascii="Arial" w:hAnsi="Arial" w:eastAsia="黑体"/>
      <w:kern w:val="2"/>
      <w:sz w:val="21"/>
      <w:szCs w:val="21"/>
    </w:rPr>
  </w:style>
  <w:style w:type="character" w:customStyle="1" w:styleId="183">
    <w:name w:val="Char Char18"/>
    <w:qFormat/>
    <w:uiPriority w:val="6"/>
    <w:rPr>
      <w:rFonts w:ascii="宋体" w:hAnsi="宋体"/>
      <w:sz w:val="28"/>
    </w:rPr>
  </w:style>
  <w:style w:type="character" w:customStyle="1" w:styleId="184">
    <w:name w:val="批注文字 Char"/>
    <w:qFormat/>
    <w:uiPriority w:val="99"/>
    <w:rPr>
      <w:kern w:val="2"/>
      <w:sz w:val="21"/>
      <w:szCs w:val="24"/>
    </w:rPr>
  </w:style>
  <w:style w:type="character" w:customStyle="1" w:styleId="185">
    <w:name w:val="Char Char22"/>
    <w:qFormat/>
    <w:uiPriority w:val="6"/>
    <w:rPr>
      <w:rFonts w:ascii="宋体" w:hAnsi="宋体"/>
      <w:kern w:val="1"/>
      <w:sz w:val="24"/>
      <w:szCs w:val="24"/>
    </w:rPr>
  </w:style>
  <w:style w:type="character" w:customStyle="1" w:styleId="186">
    <w:name w:val="pt141"/>
    <w:qFormat/>
    <w:uiPriority w:val="0"/>
    <w:rPr>
      <w:color w:val="330066"/>
      <w:sz w:val="22"/>
      <w:szCs w:val="22"/>
    </w:rPr>
  </w:style>
  <w:style w:type="character" w:customStyle="1" w:styleId="187">
    <w:name w:val="正文文本缩进 2 Char1"/>
    <w:semiHidden/>
    <w:qFormat/>
    <w:uiPriority w:val="99"/>
    <w:rPr>
      <w:rFonts w:ascii="Times New Roman" w:hAnsi="Times New Roman" w:eastAsia="宋体" w:cs="Times New Roman"/>
      <w:szCs w:val="24"/>
    </w:rPr>
  </w:style>
  <w:style w:type="character" w:customStyle="1" w:styleId="188">
    <w:name w:val="批注框文本 Char"/>
    <w:link w:val="40"/>
    <w:qFormat/>
    <w:uiPriority w:val="0"/>
    <w:rPr>
      <w:kern w:val="2"/>
      <w:sz w:val="18"/>
      <w:szCs w:val="18"/>
    </w:rPr>
  </w:style>
  <w:style w:type="character" w:customStyle="1" w:styleId="189">
    <w:name w:val="Char Char611"/>
    <w:qFormat/>
    <w:uiPriority w:val="0"/>
    <w:rPr>
      <w:rFonts w:eastAsia="宋体"/>
      <w:kern w:val="2"/>
      <w:sz w:val="21"/>
      <w:szCs w:val="24"/>
      <w:lang w:val="en-US" w:eastAsia="zh-CN" w:bidi="ar-SA"/>
    </w:rPr>
  </w:style>
  <w:style w:type="character" w:customStyle="1" w:styleId="190">
    <w:name w:val="highlight1"/>
    <w:qFormat/>
    <w:uiPriority w:val="0"/>
    <w:rPr>
      <w:rFonts w:ascii="仿宋_GB2312" w:eastAsia="微软雅黑"/>
      <w:b/>
      <w:kern w:val="2"/>
      <w:sz w:val="23"/>
      <w:szCs w:val="23"/>
      <w:lang w:val="en-US" w:eastAsia="zh-CN" w:bidi="ar-SA"/>
    </w:rPr>
  </w:style>
  <w:style w:type="character" w:customStyle="1" w:styleId="191">
    <w:name w:val="my正文 Char"/>
    <w:link w:val="192"/>
    <w:qFormat/>
    <w:locked/>
    <w:uiPriority w:val="0"/>
    <w:rPr>
      <w:rFonts w:ascii="Tahoma" w:hAnsi="Tahoma"/>
      <w:sz w:val="24"/>
      <w:szCs w:val="24"/>
    </w:rPr>
  </w:style>
  <w:style w:type="paragraph" w:customStyle="1" w:styleId="192">
    <w:name w:val="my正文"/>
    <w:basedOn w:val="1"/>
    <w:link w:val="191"/>
    <w:qFormat/>
    <w:uiPriority w:val="0"/>
    <w:pPr>
      <w:adjustRightInd/>
      <w:spacing w:line="360" w:lineRule="auto"/>
      <w:ind w:firstLine="480" w:firstLineChars="200"/>
    </w:pPr>
    <w:rPr>
      <w:rFonts w:ascii="Tahoma" w:hAnsi="Tahoma"/>
      <w:kern w:val="0"/>
      <w:sz w:val="24"/>
    </w:rPr>
  </w:style>
  <w:style w:type="character" w:customStyle="1" w:styleId="193">
    <w:name w:val="正文缩进 Char2"/>
    <w:link w:val="5"/>
    <w:qFormat/>
    <w:uiPriority w:val="0"/>
    <w:rPr>
      <w:rFonts w:ascii="宋体" w:eastAsia="宋体"/>
      <w:snapToGrid w:val="0"/>
      <w:color w:val="000000"/>
      <w:kern w:val="28"/>
      <w:sz w:val="28"/>
      <w:lang w:val="en-US" w:eastAsia="zh-CN" w:bidi="ar-SA"/>
    </w:rPr>
  </w:style>
  <w:style w:type="character" w:customStyle="1" w:styleId="194">
    <w:name w:val="Used by Word for text of Help footnotes Char Char1"/>
    <w:qFormat/>
    <w:uiPriority w:val="0"/>
    <w:rPr>
      <w:color w:val="0000FF"/>
      <w:sz w:val="21"/>
    </w:rPr>
  </w:style>
  <w:style w:type="character" w:customStyle="1" w:styleId="195">
    <w:name w:val="页眉 Char"/>
    <w:qFormat/>
    <w:uiPriority w:val="0"/>
    <w:rPr>
      <w:rFonts w:eastAsia="仿宋_GB2312"/>
      <w:kern w:val="2"/>
      <w:sz w:val="18"/>
      <w:lang w:val="en-US" w:eastAsia="zh-CN"/>
    </w:rPr>
  </w:style>
  <w:style w:type="character" w:customStyle="1" w:styleId="196">
    <w:name w:val="FA正文 Char Char"/>
    <w:qFormat/>
    <w:uiPriority w:val="0"/>
    <w:rPr>
      <w:rFonts w:hAnsi="宋体"/>
      <w:kern w:val="2"/>
      <w:sz w:val="24"/>
      <w:lang w:bidi="ar-SA"/>
    </w:rPr>
  </w:style>
  <w:style w:type="character" w:customStyle="1" w:styleId="197">
    <w:name w:val="纯文本 字符"/>
    <w:qFormat/>
    <w:uiPriority w:val="0"/>
    <w:rPr>
      <w:rFonts w:ascii="宋体" w:hAnsi="Courier New" w:eastAsia="宋体" w:cs="Arial"/>
      <w:snapToGrid w:val="0"/>
      <w:kern w:val="2"/>
      <w:sz w:val="21"/>
      <w:szCs w:val="21"/>
      <w:lang w:val="en-US" w:eastAsia="zh-CN" w:bidi="ar-SA"/>
    </w:rPr>
  </w:style>
  <w:style w:type="character" w:customStyle="1" w:styleId="198">
    <w:name w:val="3级 Char"/>
    <w:link w:val="199"/>
    <w:qFormat/>
    <w:uiPriority w:val="0"/>
    <w:rPr>
      <w:rFonts w:ascii="宋体" w:hAnsi="宋体"/>
      <w:b/>
      <w:bCs/>
      <w:snapToGrid/>
      <w:sz w:val="28"/>
    </w:rPr>
  </w:style>
  <w:style w:type="paragraph" w:customStyle="1" w:styleId="199">
    <w:name w:val="3级"/>
    <w:basedOn w:val="200"/>
    <w:link w:val="198"/>
    <w:qFormat/>
    <w:uiPriority w:val="0"/>
    <w:pPr>
      <w:ind w:left="0" w:right="466" w:firstLine="288"/>
    </w:pPr>
    <w:rPr>
      <w:rFonts w:hAnsi="宋体"/>
      <w:snapToGrid/>
    </w:rPr>
  </w:style>
  <w:style w:type="paragraph" w:customStyle="1" w:styleId="200">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1">
    <w:name w:val="myp11"/>
    <w:qFormat/>
    <w:uiPriority w:val="0"/>
    <w:rPr>
      <w:rFonts w:ascii="仿宋_GB2312" w:eastAsia="微软雅黑"/>
      <w:b/>
      <w:kern w:val="2"/>
      <w:sz w:val="32"/>
      <w:szCs w:val="32"/>
      <w:lang w:val="en-US" w:eastAsia="zh-CN" w:bidi="ar-SA"/>
    </w:rPr>
  </w:style>
  <w:style w:type="character" w:customStyle="1" w:styleId="202">
    <w:name w:val="文档结构图 Char1"/>
    <w:link w:val="18"/>
    <w:qFormat/>
    <w:uiPriority w:val="0"/>
    <w:rPr>
      <w:kern w:val="2"/>
      <w:sz w:val="21"/>
      <w:szCs w:val="24"/>
      <w:shd w:val="clear" w:color="auto" w:fill="000080"/>
    </w:rPr>
  </w:style>
  <w:style w:type="character" w:customStyle="1" w:styleId="203">
    <w:name w:val="H6 Char"/>
    <w:qFormat/>
    <w:uiPriority w:val="0"/>
    <w:rPr>
      <w:rFonts w:ascii="Arial" w:hAnsi="Arial" w:eastAsia="黑体"/>
      <w:b/>
      <w:bCs/>
      <w:kern w:val="2"/>
      <w:sz w:val="24"/>
      <w:szCs w:val="24"/>
    </w:rPr>
  </w:style>
  <w:style w:type="character" w:customStyle="1" w:styleId="204">
    <w:name w:val="Char Char91"/>
    <w:qFormat/>
    <w:uiPriority w:val="0"/>
    <w:rPr>
      <w:rFonts w:eastAsia="宋体"/>
      <w:kern w:val="2"/>
      <w:sz w:val="18"/>
      <w:szCs w:val="18"/>
      <w:lang w:val="en-US" w:eastAsia="zh-CN" w:bidi="ar-SA"/>
    </w:rPr>
  </w:style>
  <w:style w:type="character" w:customStyle="1" w:styleId="205">
    <w:name w:val="副标题 Char1"/>
    <w:qFormat/>
    <w:uiPriority w:val="0"/>
    <w:rPr>
      <w:rFonts w:ascii="Cambria" w:hAnsi="Cambria" w:eastAsia="宋体" w:cs="Times New Roman"/>
      <w:b/>
      <w:bCs/>
      <w:snapToGrid w:val="0"/>
      <w:kern w:val="28"/>
      <w:sz w:val="32"/>
      <w:szCs w:val="32"/>
    </w:rPr>
  </w:style>
  <w:style w:type="character" w:customStyle="1" w:styleId="206">
    <w:name w:val="font61"/>
    <w:qFormat/>
    <w:uiPriority w:val="0"/>
    <w:rPr>
      <w:rFonts w:hint="eastAsia" w:ascii="仿宋" w:hAnsi="仿宋" w:eastAsia="仿宋" w:cs="仿宋"/>
      <w:color w:val="000000"/>
      <w:sz w:val="20"/>
      <w:szCs w:val="20"/>
      <w:u w:val="none"/>
    </w:rPr>
  </w:style>
  <w:style w:type="character" w:customStyle="1" w:styleId="207">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8">
    <w:name w:val="Char Char211"/>
    <w:qFormat/>
    <w:uiPriority w:val="0"/>
    <w:rPr>
      <w:rFonts w:eastAsia="宋体"/>
      <w:b/>
      <w:bCs/>
      <w:kern w:val="2"/>
      <w:sz w:val="21"/>
      <w:szCs w:val="24"/>
      <w:lang w:val="en-US" w:eastAsia="zh-CN" w:bidi="ar-SA"/>
    </w:rPr>
  </w:style>
  <w:style w:type="character" w:customStyle="1" w:styleId="209">
    <w:name w:val="标题 2 Char"/>
    <w:qFormat/>
    <w:uiPriority w:val="0"/>
    <w:rPr>
      <w:rFonts w:ascii="Arial" w:hAnsi="Arial" w:eastAsia="黑体"/>
      <w:b/>
      <w:kern w:val="2"/>
      <w:sz w:val="32"/>
      <w:lang w:val="en-US" w:eastAsia="zh-CN"/>
    </w:rPr>
  </w:style>
  <w:style w:type="character" w:customStyle="1" w:styleId="210">
    <w:name w:val="maywed421"/>
    <w:qFormat/>
    <w:uiPriority w:val="0"/>
    <w:rPr>
      <w:color w:val="366FB6"/>
      <w:u w:val="none"/>
    </w:rPr>
  </w:style>
  <w:style w:type="character" w:customStyle="1" w:styleId="211">
    <w:name w:val="正文文本缩进 Char"/>
    <w:qFormat/>
    <w:uiPriority w:val="0"/>
    <w:rPr>
      <w:rFonts w:ascii="宋体" w:hAnsi="宋体"/>
      <w:kern w:val="2"/>
      <w:sz w:val="24"/>
      <w:szCs w:val="24"/>
    </w:rPr>
  </w:style>
  <w:style w:type="character" w:customStyle="1" w:styleId="212">
    <w:name w:val="Char Char102"/>
    <w:semiHidden/>
    <w:qFormat/>
    <w:uiPriority w:val="0"/>
    <w:rPr>
      <w:rFonts w:ascii="宋体" w:hAnsi="宋体"/>
      <w:kern w:val="2"/>
      <w:sz w:val="21"/>
      <w:szCs w:val="24"/>
      <w:lang w:val="en-US" w:eastAsia="zh-CN"/>
    </w:rPr>
  </w:style>
  <w:style w:type="character" w:customStyle="1" w:styleId="213">
    <w:name w:val="页眉 Char1"/>
    <w:qFormat/>
    <w:uiPriority w:val="0"/>
    <w:rPr>
      <w:rFonts w:eastAsia="宋体"/>
      <w:kern w:val="2"/>
      <w:sz w:val="18"/>
      <w:szCs w:val="18"/>
      <w:lang w:val="en-US" w:eastAsia="zh-CN" w:bidi="ar-SA"/>
    </w:rPr>
  </w:style>
  <w:style w:type="character" w:customStyle="1" w:styleId="214">
    <w:name w:val="md"/>
    <w:basedOn w:val="70"/>
    <w:qFormat/>
    <w:uiPriority w:val="0"/>
    <w:rPr>
      <w:rFonts w:ascii="Arial" w:hAnsi="Arial" w:eastAsia="黑体" w:cs="Arial"/>
      <w:snapToGrid w:val="0"/>
      <w:kern w:val="0"/>
      <w:szCs w:val="21"/>
    </w:rPr>
  </w:style>
  <w:style w:type="character" w:customStyle="1" w:styleId="215">
    <w:name w:val="big1"/>
    <w:qFormat/>
    <w:uiPriority w:val="0"/>
    <w:rPr>
      <w:rFonts w:hint="eastAsia" w:ascii="宋体" w:hAnsi="宋体" w:eastAsia="宋体"/>
      <w:color w:val="333333"/>
      <w:sz w:val="22"/>
      <w:szCs w:val="22"/>
    </w:rPr>
  </w:style>
  <w:style w:type="character" w:customStyle="1" w:styleId="216">
    <w:name w:val="Char Char311"/>
    <w:qFormat/>
    <w:uiPriority w:val="0"/>
    <w:rPr>
      <w:rFonts w:eastAsia="宋体"/>
      <w:kern w:val="2"/>
      <w:sz w:val="21"/>
      <w:szCs w:val="24"/>
      <w:lang w:val="en-US" w:eastAsia="zh-CN" w:bidi="ar-SA"/>
    </w:rPr>
  </w:style>
  <w:style w:type="character" w:customStyle="1" w:styleId="217">
    <w:name w:val="Char Char81"/>
    <w:qFormat/>
    <w:uiPriority w:val="6"/>
    <w:rPr>
      <w:rFonts w:eastAsia="宋体"/>
      <w:b/>
      <w:sz w:val="24"/>
      <w:lang w:val="en-GB" w:eastAsia="zh-CN"/>
    </w:rPr>
  </w:style>
  <w:style w:type="character" w:customStyle="1" w:styleId="218">
    <w:name w:val="样式3 Char"/>
    <w:basedOn w:val="169"/>
    <w:qFormat/>
    <w:uiPriority w:val="0"/>
    <w:rPr>
      <w:rFonts w:ascii="仿宋_GB2312" w:hAnsi="仿宋" w:eastAsia="仿宋_GB2312" w:cs="仿宋_GB2312"/>
      <w:sz w:val="32"/>
      <w:szCs w:val="30"/>
      <w:lang w:val="zh-CN"/>
    </w:rPr>
  </w:style>
  <w:style w:type="character" w:customStyle="1" w:styleId="219">
    <w:name w:val="HTML 地址 Char"/>
    <w:link w:val="31"/>
    <w:qFormat/>
    <w:uiPriority w:val="0"/>
    <w:rPr>
      <w:rFonts w:ascii="宋体" w:hAnsi="宋体"/>
      <w:i/>
      <w:iCs/>
      <w:sz w:val="24"/>
      <w:szCs w:val="24"/>
    </w:rPr>
  </w:style>
  <w:style w:type="character" w:customStyle="1" w:styleId="220">
    <w:name w:val="正文首行缩进 2 Char1"/>
    <w:qFormat/>
    <w:uiPriority w:val="0"/>
    <w:rPr>
      <w:rFonts w:ascii="Times New Roman" w:hAnsi="Times New Roman" w:eastAsia="宋体" w:cs="Times New Roman"/>
      <w:kern w:val="2"/>
      <w:sz w:val="24"/>
      <w:szCs w:val="24"/>
    </w:rPr>
  </w:style>
  <w:style w:type="character" w:customStyle="1" w:styleId="221">
    <w:name w:val="副标题 Char2"/>
    <w:qFormat/>
    <w:uiPriority w:val="0"/>
    <w:rPr>
      <w:rFonts w:ascii="Cambria" w:hAnsi="Cambria" w:eastAsia="宋体" w:cs="Times New Roman"/>
      <w:b/>
      <w:bCs/>
      <w:snapToGrid w:val="0"/>
      <w:kern w:val="28"/>
      <w:sz w:val="32"/>
      <w:szCs w:val="32"/>
    </w:rPr>
  </w:style>
  <w:style w:type="character" w:customStyle="1" w:styleId="222">
    <w:name w:val="标题4-dyf Char"/>
    <w:link w:val="223"/>
    <w:qFormat/>
    <w:uiPriority w:val="0"/>
    <w:rPr>
      <w:rFonts w:ascii="Cambria" w:hAnsi="Cambria"/>
      <w:b/>
      <w:bCs/>
      <w:color w:val="000000"/>
      <w:kern w:val="2"/>
      <w:sz w:val="21"/>
      <w:szCs w:val="21"/>
    </w:rPr>
  </w:style>
  <w:style w:type="paragraph" w:customStyle="1" w:styleId="223">
    <w:name w:val="标题4-dyf"/>
    <w:basedOn w:val="6"/>
    <w:link w:val="222"/>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4">
    <w:name w:val="dectext1"/>
    <w:qFormat/>
    <w:uiPriority w:val="0"/>
    <w:rPr>
      <w:rFonts w:ascii="宋体" w:hAnsi="宋体" w:eastAsia="宋体"/>
      <w:color w:val="333333"/>
      <w:sz w:val="21"/>
      <w:szCs w:val="21"/>
      <w:u w:val="none"/>
    </w:rPr>
  </w:style>
  <w:style w:type="character" w:customStyle="1" w:styleId="225">
    <w:name w:val="冯 Char"/>
    <w:link w:val="226"/>
    <w:qFormat/>
    <w:uiPriority w:val="0"/>
    <w:rPr>
      <w:rFonts w:ascii="宋体" w:hAnsi="宋体"/>
      <w:color w:val="000000"/>
      <w:sz w:val="24"/>
      <w:szCs w:val="24"/>
    </w:rPr>
  </w:style>
  <w:style w:type="paragraph" w:customStyle="1" w:styleId="226">
    <w:name w:val="冯"/>
    <w:basedOn w:val="1"/>
    <w:link w:val="225"/>
    <w:qFormat/>
    <w:uiPriority w:val="0"/>
    <w:pPr>
      <w:widowControl/>
      <w:adjustRightInd/>
      <w:spacing w:line="360" w:lineRule="auto"/>
      <w:ind w:firstLine="480" w:firstLineChars="200"/>
    </w:pPr>
    <w:rPr>
      <w:rFonts w:ascii="宋体" w:hAnsi="宋体"/>
      <w:color w:val="000000"/>
      <w:kern w:val="0"/>
      <w:sz w:val="24"/>
    </w:rPr>
  </w:style>
  <w:style w:type="character" w:customStyle="1" w:styleId="227">
    <w:name w:val="Header Char"/>
    <w:qFormat/>
    <w:locked/>
    <w:uiPriority w:val="0"/>
    <w:rPr>
      <w:rFonts w:eastAsia="宋体"/>
      <w:kern w:val="2"/>
      <w:sz w:val="18"/>
      <w:szCs w:val="18"/>
      <w:lang w:val="en-US" w:eastAsia="zh-CN" w:bidi="ar-SA"/>
    </w:rPr>
  </w:style>
  <w:style w:type="character" w:customStyle="1" w:styleId="228">
    <w:name w:val="Char Char12"/>
    <w:qFormat/>
    <w:uiPriority w:val="0"/>
    <w:rPr>
      <w:rFonts w:ascii="仿宋_GB2312" w:eastAsia="仿宋_GB2312"/>
      <w:b/>
      <w:bCs/>
      <w:kern w:val="2"/>
      <w:sz w:val="24"/>
      <w:szCs w:val="24"/>
      <w:lang w:val="zh-CN" w:eastAsia="zh-CN" w:bidi="ar-SA"/>
    </w:rPr>
  </w:style>
  <w:style w:type="character" w:customStyle="1" w:styleId="229">
    <w:name w:val="题注 Char"/>
    <w:link w:val="16"/>
    <w:qFormat/>
    <w:uiPriority w:val="0"/>
    <w:rPr>
      <w:b/>
      <w:kern w:val="2"/>
      <w:sz w:val="28"/>
    </w:rPr>
  </w:style>
  <w:style w:type="character" w:customStyle="1" w:styleId="230">
    <w:name w:val="普通文字 Char3"/>
    <w:qFormat/>
    <w:uiPriority w:val="0"/>
    <w:rPr>
      <w:rFonts w:ascii="宋体" w:hAnsi="Courier New" w:eastAsia="宋体"/>
      <w:kern w:val="2"/>
      <w:sz w:val="21"/>
      <w:lang w:val="en-US" w:eastAsia="zh-CN" w:bidi="ar-SA"/>
    </w:rPr>
  </w:style>
  <w:style w:type="character" w:customStyle="1" w:styleId="231">
    <w:name w:val="公文正文 Char"/>
    <w:qFormat/>
    <w:uiPriority w:val="0"/>
    <w:rPr>
      <w:rFonts w:ascii="仿宋_GB2312" w:eastAsia="仿宋_GB2312"/>
      <w:kern w:val="2"/>
      <w:sz w:val="24"/>
      <w:szCs w:val="24"/>
      <w:lang w:val="en-US" w:eastAsia="zh-CN" w:bidi="ar-SA"/>
    </w:rPr>
  </w:style>
  <w:style w:type="character" w:customStyle="1" w:styleId="232">
    <w:name w:val="正文首行缩进 Char Char Char Char Char"/>
    <w:qFormat/>
    <w:uiPriority w:val="0"/>
    <w:rPr>
      <w:rFonts w:ascii="宋体"/>
      <w:kern w:val="2"/>
      <w:sz w:val="24"/>
      <w:lang w:val="zh-CN"/>
    </w:rPr>
  </w:style>
  <w:style w:type="character" w:customStyle="1" w:styleId="233">
    <w:name w:val="PI Char"/>
    <w:qFormat/>
    <w:uiPriority w:val="0"/>
    <w:rPr>
      <w:rFonts w:ascii="宋体" w:hAnsi="宋体" w:eastAsia="宋体"/>
      <w:kern w:val="2"/>
      <w:sz w:val="24"/>
      <w:szCs w:val="24"/>
      <w:lang w:val="en-US" w:eastAsia="zh-CN" w:bidi="ar-SA"/>
    </w:rPr>
  </w:style>
  <w:style w:type="character" w:customStyle="1" w:styleId="234">
    <w:name w:val="Default Char"/>
    <w:link w:val="235"/>
    <w:qFormat/>
    <w:uiPriority w:val="0"/>
    <w:rPr>
      <w:rFonts w:ascii="仿宋_GB2312" w:eastAsia="仿宋_GB2312" w:cs="仿宋_GB2312"/>
      <w:color w:val="000000"/>
      <w:sz w:val="24"/>
      <w:szCs w:val="24"/>
      <w:lang w:val="en-US" w:eastAsia="zh-CN" w:bidi="ar-SA"/>
    </w:rPr>
  </w:style>
  <w:style w:type="paragraph" w:customStyle="1" w:styleId="235">
    <w:name w:val="Default"/>
    <w:link w:val="234"/>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6">
    <w:name w:val="style91"/>
    <w:qFormat/>
    <w:uiPriority w:val="0"/>
    <w:rPr>
      <w:color w:val="333333"/>
    </w:rPr>
  </w:style>
  <w:style w:type="character" w:customStyle="1" w:styleId="237">
    <w:name w:val="列出段落 Char2"/>
    <w:qFormat/>
    <w:uiPriority w:val="34"/>
    <w:rPr>
      <w:rFonts w:ascii="Calibri" w:hAnsi="Calibri"/>
      <w:kern w:val="2"/>
      <w:sz w:val="28"/>
    </w:rPr>
  </w:style>
  <w:style w:type="character" w:customStyle="1" w:styleId="238">
    <w:name w:val="mdeck"/>
    <w:qFormat/>
    <w:uiPriority w:val="0"/>
    <w:rPr>
      <w:rFonts w:ascii="仿宋_GB2312" w:eastAsia="微软雅黑"/>
      <w:b/>
      <w:kern w:val="2"/>
      <w:sz w:val="32"/>
      <w:szCs w:val="32"/>
      <w:lang w:val="en-US" w:eastAsia="zh-CN" w:bidi="ar-SA"/>
    </w:rPr>
  </w:style>
  <w:style w:type="character" w:customStyle="1" w:styleId="239">
    <w:name w:val="unnamed11"/>
    <w:qFormat/>
    <w:uiPriority w:val="0"/>
    <w:rPr>
      <w:sz w:val="20"/>
      <w:szCs w:val="20"/>
    </w:rPr>
  </w:style>
  <w:style w:type="character" w:customStyle="1" w:styleId="240">
    <w:name w:val="正文文本 Char2"/>
    <w:semiHidden/>
    <w:qFormat/>
    <w:uiPriority w:val="99"/>
    <w:rPr>
      <w:rFonts w:ascii="Times New Roman" w:hAnsi="Times New Roman" w:eastAsia="宋体" w:cs="Times New Roman"/>
      <w:snapToGrid w:val="0"/>
      <w:kern w:val="0"/>
      <w:szCs w:val="24"/>
    </w:rPr>
  </w:style>
  <w:style w:type="character" w:customStyle="1" w:styleId="241">
    <w:name w:val="标书正文格式 Char"/>
    <w:qFormat/>
    <w:uiPriority w:val="0"/>
    <w:rPr>
      <w:rFonts w:eastAsia="楷体_GB2312"/>
      <w:kern w:val="2"/>
      <w:sz w:val="24"/>
      <w:szCs w:val="24"/>
      <w:lang w:bidi="ar-SA"/>
    </w:rPr>
  </w:style>
  <w:style w:type="character" w:customStyle="1" w:styleId="242">
    <w:name w:val="Char Char11"/>
    <w:qFormat/>
    <w:locked/>
    <w:uiPriority w:val="0"/>
    <w:rPr>
      <w:rFonts w:ascii="宋体" w:hAnsi="宋体" w:eastAsia="宋体"/>
      <w:b/>
      <w:kern w:val="2"/>
      <w:sz w:val="24"/>
      <w:szCs w:val="24"/>
      <w:lang w:val="en-US" w:eastAsia="zh-CN" w:bidi="ar-SA"/>
    </w:rPr>
  </w:style>
  <w:style w:type="character" w:customStyle="1" w:styleId="243">
    <w:name w:val="ca-131"/>
    <w:qFormat/>
    <w:uiPriority w:val="0"/>
    <w:rPr>
      <w:rFonts w:hint="eastAsia" w:ascii="仿宋_GB2312" w:eastAsia="仿宋_GB2312"/>
      <w:b/>
      <w:bCs/>
      <w:color w:val="000000"/>
      <w:spacing w:val="-20"/>
      <w:sz w:val="24"/>
      <w:szCs w:val="24"/>
    </w:rPr>
  </w:style>
  <w:style w:type="character" w:customStyle="1" w:styleId="244">
    <w:name w:val="tw4winMark"/>
    <w:qFormat/>
    <w:uiPriority w:val="0"/>
    <w:rPr>
      <w:rFonts w:ascii="Courier New" w:hAnsi="Courier New" w:cs="Courier New"/>
      <w:vanish/>
      <w:color w:val="800080"/>
      <w:sz w:val="24"/>
      <w:szCs w:val="24"/>
      <w:vertAlign w:val="subscript"/>
    </w:rPr>
  </w:style>
  <w:style w:type="character" w:customStyle="1" w:styleId="245">
    <w:name w:val="正文样式 Char"/>
    <w:link w:val="246"/>
    <w:qFormat/>
    <w:uiPriority w:val="0"/>
    <w:rPr>
      <w:rFonts w:ascii="Calibri" w:hAnsi="Calibri"/>
      <w:sz w:val="24"/>
      <w:szCs w:val="24"/>
    </w:rPr>
  </w:style>
  <w:style w:type="paragraph" w:customStyle="1" w:styleId="246">
    <w:name w:val="正文样式"/>
    <w:basedOn w:val="1"/>
    <w:link w:val="245"/>
    <w:qFormat/>
    <w:uiPriority w:val="0"/>
    <w:pPr>
      <w:adjustRightInd/>
      <w:spacing w:line="360" w:lineRule="auto"/>
      <w:ind w:firstLine="480" w:firstLineChars="200"/>
    </w:pPr>
    <w:rPr>
      <w:kern w:val="0"/>
      <w:sz w:val="24"/>
    </w:rPr>
  </w:style>
  <w:style w:type="character" w:customStyle="1" w:styleId="247">
    <w:name w:val="表正文 Char3"/>
    <w:qFormat/>
    <w:uiPriority w:val="0"/>
    <w:rPr>
      <w:rFonts w:eastAsia="宋体"/>
    </w:rPr>
  </w:style>
  <w:style w:type="character" w:customStyle="1" w:styleId="248">
    <w:name w:val="H5 Char"/>
    <w:qFormat/>
    <w:uiPriority w:val="0"/>
    <w:rPr>
      <w:b/>
      <w:bCs/>
      <w:kern w:val="2"/>
      <w:sz w:val="28"/>
      <w:szCs w:val="28"/>
    </w:rPr>
  </w:style>
  <w:style w:type="character" w:customStyle="1" w:styleId="249">
    <w:name w:val="Char Char3"/>
    <w:qFormat/>
    <w:uiPriority w:val="0"/>
    <w:rPr>
      <w:rFonts w:eastAsia="宋体"/>
      <w:kern w:val="2"/>
      <w:sz w:val="21"/>
      <w:szCs w:val="24"/>
      <w:lang w:val="en-US" w:eastAsia="zh-CN" w:bidi="ar-SA"/>
    </w:rPr>
  </w:style>
  <w:style w:type="character" w:customStyle="1" w:styleId="250">
    <w:name w:val="正文 编号 Char"/>
    <w:qFormat/>
    <w:uiPriority w:val="0"/>
    <w:rPr>
      <w:rFonts w:ascii="仿宋_GB2312" w:hAnsi="仿宋_GB2312" w:eastAsia="仿宋_GB2312"/>
      <w:kern w:val="2"/>
      <w:sz w:val="24"/>
      <w:lang w:bidi="ar-SA"/>
    </w:rPr>
  </w:style>
  <w:style w:type="character" w:customStyle="1" w:styleId="251">
    <w:name w:val="question-title2"/>
    <w:qFormat/>
    <w:uiPriority w:val="6"/>
    <w:rPr>
      <w:rFonts w:ascii="Arial" w:hAnsi="Arial" w:eastAsia="黑体" w:cs="Arial"/>
      <w:snapToGrid w:val="0"/>
      <w:kern w:val="0"/>
      <w:szCs w:val="21"/>
    </w:rPr>
  </w:style>
  <w:style w:type="character" w:customStyle="1" w:styleId="252">
    <w:name w:val="gf正文1 Char Char"/>
    <w:link w:val="253"/>
    <w:qFormat/>
    <w:uiPriority w:val="0"/>
    <w:rPr>
      <w:rFonts w:ascii="宋体" w:hAnsi="宋体" w:cs="宋体"/>
      <w:kern w:val="2"/>
      <w:sz w:val="24"/>
      <w:szCs w:val="24"/>
    </w:rPr>
  </w:style>
  <w:style w:type="paragraph" w:customStyle="1" w:styleId="253">
    <w:name w:val="gf正文1"/>
    <w:basedOn w:val="1"/>
    <w:link w:val="252"/>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4">
    <w:name w:val="Char Char15"/>
    <w:qFormat/>
    <w:uiPriority w:val="6"/>
    <w:rPr>
      <w:rFonts w:ascii="宋体" w:hAnsi="宋体"/>
      <w:kern w:val="1"/>
      <w:sz w:val="21"/>
    </w:rPr>
  </w:style>
  <w:style w:type="character" w:customStyle="1" w:styleId="255">
    <w:name w:val="正文缩进 Char3"/>
    <w:qFormat/>
    <w:uiPriority w:val="0"/>
    <w:rPr>
      <w:rFonts w:ascii="宋体" w:eastAsia="宋体"/>
      <w:snapToGrid w:val="0"/>
      <w:color w:val="000000"/>
      <w:kern w:val="28"/>
      <w:sz w:val="28"/>
      <w:lang w:val="en-US" w:eastAsia="zh-CN" w:bidi="ar-SA"/>
    </w:rPr>
  </w:style>
  <w:style w:type="character" w:customStyle="1" w:styleId="256">
    <w:name w:val="列出段落 Char1"/>
    <w:link w:val="257"/>
    <w:qFormat/>
    <w:uiPriority w:val="0"/>
    <w:rPr>
      <w:rFonts w:ascii="Calibri" w:hAnsi="Calibri"/>
      <w:sz w:val="24"/>
      <w:lang w:eastAsia="en-US"/>
    </w:rPr>
  </w:style>
  <w:style w:type="paragraph" w:customStyle="1" w:styleId="257">
    <w:name w:val="列表1"/>
    <w:basedOn w:val="1"/>
    <w:next w:val="258"/>
    <w:link w:val="256"/>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258">
    <w:name w:val="列出段落1"/>
    <w:basedOn w:val="1"/>
    <w:qFormat/>
    <w:uiPriority w:val="34"/>
    <w:pPr>
      <w:spacing w:line="360" w:lineRule="auto"/>
      <w:ind w:firstLine="200" w:firstLineChars="200"/>
    </w:pPr>
    <w:rPr>
      <w:rFonts w:eastAsia="楷体_GB2312" w:cs="Lucida Sans"/>
      <w:sz w:val="24"/>
    </w:rPr>
  </w:style>
  <w:style w:type="character" w:customStyle="1" w:styleId="259">
    <w:name w:val="Char Char8"/>
    <w:qFormat/>
    <w:uiPriority w:val="0"/>
    <w:rPr>
      <w:rFonts w:eastAsia="宋体"/>
      <w:b/>
      <w:sz w:val="24"/>
      <w:lang w:val="en-GB" w:eastAsia="zh-CN"/>
    </w:rPr>
  </w:style>
  <w:style w:type="character" w:customStyle="1" w:styleId="260">
    <w:name w:val="Normal Indent Char Char"/>
    <w:qFormat/>
    <w:uiPriority w:val="0"/>
    <w:rPr>
      <w:rFonts w:eastAsia="宋体"/>
      <w:kern w:val="2"/>
      <w:sz w:val="21"/>
      <w:lang w:val="en-US" w:eastAsia="zh-CN" w:bidi="ar-SA"/>
    </w:rPr>
  </w:style>
  <w:style w:type="character" w:customStyle="1" w:styleId="261">
    <w:name w:val="列表段落 字符"/>
    <w:qFormat/>
    <w:uiPriority w:val="99"/>
  </w:style>
  <w:style w:type="character" w:customStyle="1" w:styleId="262">
    <w:name w:val="Ò³Ã¼ Char Char1"/>
    <w:qFormat/>
    <w:uiPriority w:val="0"/>
    <w:rPr>
      <w:rFonts w:eastAsia="宋体"/>
      <w:kern w:val="2"/>
      <w:sz w:val="18"/>
      <w:szCs w:val="18"/>
      <w:lang w:val="en-US" w:eastAsia="zh-CN" w:bidi="ar-SA"/>
    </w:rPr>
  </w:style>
  <w:style w:type="character" w:customStyle="1" w:styleId="263">
    <w:name w:val="方案正文 Char"/>
    <w:qFormat/>
    <w:uiPriority w:val="0"/>
    <w:rPr>
      <w:rFonts w:ascii="仿宋_GB2312" w:eastAsia="仿宋_GB2312"/>
      <w:b/>
      <w:color w:val="000000"/>
      <w:kern w:val="2"/>
      <w:sz w:val="24"/>
      <w:lang w:val="en-US" w:eastAsia="zh-CN" w:bidi="ar-SA"/>
    </w:rPr>
  </w:style>
  <w:style w:type="character" w:customStyle="1" w:styleId="264">
    <w:name w:val="Char Char30"/>
    <w:qFormat/>
    <w:uiPriority w:val="6"/>
    <w:rPr>
      <w:rFonts w:ascii="Arial" w:hAnsi="Arial" w:eastAsia="黑体"/>
      <w:kern w:val="1"/>
      <w:sz w:val="21"/>
      <w:szCs w:val="21"/>
    </w:rPr>
  </w:style>
  <w:style w:type="character" w:customStyle="1" w:styleId="265">
    <w:name w:val="正文文本缩进 Char3"/>
    <w:link w:val="26"/>
    <w:qFormat/>
    <w:uiPriority w:val="0"/>
    <w:rPr>
      <w:rFonts w:ascii="宋体" w:hAnsi="宋体"/>
      <w:kern w:val="2"/>
      <w:sz w:val="24"/>
      <w:szCs w:val="24"/>
    </w:rPr>
  </w:style>
  <w:style w:type="character" w:customStyle="1" w:styleId="266">
    <w:name w:val="font01"/>
    <w:qFormat/>
    <w:uiPriority w:val="0"/>
    <w:rPr>
      <w:rFonts w:hint="eastAsia" w:ascii="微软雅黑" w:hAnsi="微软雅黑" w:eastAsia="微软雅黑" w:cs="微软雅黑"/>
      <w:color w:val="000000"/>
      <w:sz w:val="20"/>
      <w:szCs w:val="20"/>
      <w:u w:val="none"/>
    </w:rPr>
  </w:style>
  <w:style w:type="character" w:customStyle="1" w:styleId="267">
    <w:name w:val="Char Char20"/>
    <w:qFormat/>
    <w:uiPriority w:val="6"/>
    <w:rPr>
      <w:kern w:val="1"/>
      <w:sz w:val="24"/>
    </w:rPr>
  </w:style>
  <w:style w:type="character" w:customStyle="1" w:styleId="268">
    <w:name w:val="tw4winExternal"/>
    <w:qFormat/>
    <w:uiPriority w:val="0"/>
    <w:rPr>
      <w:rFonts w:ascii="Courier New" w:hAnsi="Courier New" w:cs="Courier New"/>
      <w:color w:val="808080"/>
      <w:lang w:val="en-US" w:eastAsia="zh-CN"/>
    </w:rPr>
  </w:style>
  <w:style w:type="character" w:customStyle="1" w:styleId="269">
    <w:name w:val="标题 4 Char1"/>
    <w:qFormat/>
    <w:uiPriority w:val="9"/>
    <w:rPr>
      <w:rFonts w:ascii="Cambria" w:hAnsi="Cambria" w:eastAsia="宋体" w:cs="Times New Roman"/>
      <w:b/>
      <w:bCs/>
      <w:kern w:val="2"/>
      <w:sz w:val="28"/>
      <w:szCs w:val="28"/>
    </w:rPr>
  </w:style>
  <w:style w:type="character" w:customStyle="1" w:styleId="270">
    <w:name w:val="批注文字 Char2"/>
    <w:qFormat/>
    <w:uiPriority w:val="99"/>
    <w:rPr>
      <w:rFonts w:ascii="Times New Roman" w:hAnsi="Times New Roman" w:eastAsia="宋体" w:cs="Times New Roman"/>
      <w:snapToGrid w:val="0"/>
      <w:kern w:val="0"/>
      <w:szCs w:val="24"/>
    </w:rPr>
  </w:style>
  <w:style w:type="character" w:customStyle="1" w:styleId="271">
    <w:name w:val="正文文本 2 Char"/>
    <w:qFormat/>
    <w:uiPriority w:val="0"/>
    <w:rPr>
      <w:rFonts w:eastAsia="宋体"/>
      <w:kern w:val="2"/>
      <w:sz w:val="21"/>
      <w:szCs w:val="24"/>
      <w:lang w:val="en-US" w:eastAsia="zh-CN" w:bidi="ar-SA"/>
    </w:rPr>
  </w:style>
  <w:style w:type="character" w:customStyle="1" w:styleId="272">
    <w:name w:val="Ò³Ã¼ Char Char"/>
    <w:qFormat/>
    <w:uiPriority w:val="0"/>
    <w:rPr>
      <w:rFonts w:eastAsia="宋体"/>
      <w:kern w:val="2"/>
      <w:sz w:val="18"/>
      <w:lang w:val="en-US" w:eastAsia="zh-CN" w:bidi="ar-SA"/>
    </w:rPr>
  </w:style>
  <w:style w:type="character" w:customStyle="1" w:styleId="273">
    <w:name w:val="message1"/>
    <w:qFormat/>
    <w:uiPriority w:val="0"/>
    <w:rPr>
      <w:rFonts w:hint="default" w:ascii="Tahoma" w:hAnsi="Tahoma" w:cs="Tahoma"/>
      <w:sz w:val="18"/>
      <w:szCs w:val="18"/>
    </w:rPr>
  </w:style>
  <w:style w:type="character" w:customStyle="1" w:styleId="274">
    <w:name w:val="Char Char23"/>
    <w:qFormat/>
    <w:uiPriority w:val="6"/>
    <w:rPr>
      <w:color w:val="0000FF"/>
      <w:sz w:val="21"/>
    </w:rPr>
  </w:style>
  <w:style w:type="character" w:customStyle="1" w:styleId="275">
    <w:name w:val="批注框文本 字符"/>
    <w:qFormat/>
    <w:uiPriority w:val="0"/>
    <w:rPr>
      <w:rFonts w:ascii="Arial" w:hAnsi="Arial" w:eastAsia="黑体" w:cs="Arial"/>
      <w:snapToGrid w:val="0"/>
      <w:kern w:val="0"/>
      <w:sz w:val="18"/>
      <w:szCs w:val="18"/>
    </w:rPr>
  </w:style>
  <w:style w:type="character" w:customStyle="1" w:styleId="276">
    <w:name w:val="纯文本 Char2"/>
    <w:semiHidden/>
    <w:qFormat/>
    <w:uiPriority w:val="99"/>
    <w:rPr>
      <w:rFonts w:ascii="宋体" w:hAnsi="Courier New" w:eastAsia="宋体" w:cs="Courier New"/>
    </w:rPr>
  </w:style>
  <w:style w:type="character" w:customStyle="1" w:styleId="277">
    <w:name w:val="Char Char25"/>
    <w:qFormat/>
    <w:uiPriority w:val="6"/>
    <w:rPr>
      <w:rFonts w:ascii="宋体" w:hAnsi="宋体"/>
      <w:kern w:val="1"/>
      <w:sz w:val="24"/>
      <w:lang w:val="zh-CN"/>
    </w:rPr>
  </w:style>
  <w:style w:type="character" w:customStyle="1" w:styleId="278">
    <w:name w:val="Char Char411"/>
    <w:qFormat/>
    <w:uiPriority w:val="0"/>
    <w:rPr>
      <w:rFonts w:eastAsia="宋体"/>
      <w:b/>
      <w:sz w:val="24"/>
      <w:lang w:val="en-GB" w:eastAsia="zh-CN" w:bidi="ar-SA"/>
    </w:rPr>
  </w:style>
  <w:style w:type="character" w:customStyle="1" w:styleId="279">
    <w:name w:val="Heading 7 Char"/>
    <w:qFormat/>
    <w:locked/>
    <w:uiPriority w:val="0"/>
    <w:rPr>
      <w:rFonts w:ascii="宋体" w:hAnsi="宋体" w:eastAsia="宋体"/>
      <w:b/>
      <w:bCs/>
      <w:kern w:val="2"/>
      <w:sz w:val="24"/>
      <w:szCs w:val="24"/>
      <w:lang w:val="en-US" w:eastAsia="zh-CN" w:bidi="ar-SA"/>
    </w:rPr>
  </w:style>
  <w:style w:type="character" w:customStyle="1" w:styleId="280">
    <w:name w:val="此正文 Char"/>
    <w:link w:val="281"/>
    <w:qFormat/>
    <w:uiPriority w:val="0"/>
    <w:rPr>
      <w:kern w:val="2"/>
      <w:sz w:val="24"/>
      <w:szCs w:val="24"/>
    </w:rPr>
  </w:style>
  <w:style w:type="paragraph" w:customStyle="1" w:styleId="281">
    <w:name w:val="此正文"/>
    <w:basedOn w:val="1"/>
    <w:link w:val="280"/>
    <w:qFormat/>
    <w:uiPriority w:val="0"/>
    <w:pPr>
      <w:adjustRightInd/>
      <w:spacing w:line="360" w:lineRule="auto"/>
      <w:ind w:firstLine="200" w:firstLineChars="200"/>
    </w:pPr>
    <w:rPr>
      <w:sz w:val="24"/>
    </w:rPr>
  </w:style>
  <w:style w:type="character" w:customStyle="1" w:styleId="282">
    <w:name w:val="Char Char2"/>
    <w:qFormat/>
    <w:uiPriority w:val="0"/>
    <w:rPr>
      <w:rFonts w:eastAsia="宋体"/>
      <w:b/>
      <w:bCs/>
      <w:kern w:val="2"/>
      <w:sz w:val="21"/>
      <w:szCs w:val="24"/>
      <w:lang w:val="en-US" w:eastAsia="zh-CN" w:bidi="ar-SA"/>
    </w:rPr>
  </w:style>
  <w:style w:type="character" w:customStyle="1" w:styleId="283">
    <w:name w:val="标题 1 Char"/>
    <w:link w:val="2"/>
    <w:qFormat/>
    <w:uiPriority w:val="9"/>
    <w:rPr>
      <w:b/>
      <w:bCs/>
      <w:kern w:val="44"/>
      <w:sz w:val="44"/>
      <w:szCs w:val="44"/>
    </w:rPr>
  </w:style>
  <w:style w:type="character" w:customStyle="1" w:styleId="284">
    <w:name w:val="Footer-Even Char1"/>
    <w:qFormat/>
    <w:uiPriority w:val="0"/>
    <w:rPr>
      <w:rFonts w:eastAsia="宋体"/>
      <w:kern w:val="2"/>
      <w:sz w:val="18"/>
      <w:szCs w:val="18"/>
      <w:lang w:val="en-US" w:eastAsia="zh-CN" w:bidi="ar-SA"/>
    </w:rPr>
  </w:style>
  <w:style w:type="character" w:customStyle="1" w:styleId="285">
    <w:name w:val="Char Char29"/>
    <w:qFormat/>
    <w:uiPriority w:val="6"/>
    <w:rPr>
      <w:rFonts w:ascii="Arial" w:hAnsi="Arial" w:eastAsia="微软雅黑"/>
      <w:b/>
      <w:kern w:val="1"/>
      <w:sz w:val="44"/>
      <w:szCs w:val="32"/>
      <w:lang w:val="en-US" w:eastAsia="zh-CN" w:bidi="ar-SA"/>
    </w:rPr>
  </w:style>
  <w:style w:type="character" w:customStyle="1" w:styleId="286">
    <w:name w:val="标题 Char2"/>
    <w:link w:val="60"/>
    <w:qFormat/>
    <w:uiPriority w:val="10"/>
    <w:rPr>
      <w:b/>
      <w:sz w:val="24"/>
      <w:lang w:val="en-GB"/>
    </w:rPr>
  </w:style>
  <w:style w:type="character" w:customStyle="1" w:styleId="287">
    <w:name w:val="font81"/>
    <w:qFormat/>
    <w:uiPriority w:val="0"/>
    <w:rPr>
      <w:rFonts w:ascii="微软雅黑" w:hAnsi="微软雅黑" w:eastAsia="微软雅黑" w:cs="微软雅黑"/>
      <w:color w:val="000000"/>
      <w:sz w:val="20"/>
      <w:szCs w:val="20"/>
      <w:u w:val="none"/>
    </w:rPr>
  </w:style>
  <w:style w:type="character" w:customStyle="1" w:styleId="288">
    <w:name w:val="Char Char312"/>
    <w:qFormat/>
    <w:uiPriority w:val="0"/>
    <w:rPr>
      <w:rFonts w:ascii="Times New Roman" w:hAnsi="Times New Roman" w:eastAsia="宋体" w:cs="Times New Roman"/>
      <w:b/>
      <w:kern w:val="2"/>
      <w:sz w:val="32"/>
      <w:szCs w:val="24"/>
      <w:lang w:val="en-US" w:eastAsia="zh-CN" w:bidi="ar-SA"/>
    </w:rPr>
  </w:style>
  <w:style w:type="character" w:customStyle="1" w:styleId="289">
    <w:name w:val="t21"/>
    <w:qFormat/>
    <w:uiPriority w:val="0"/>
    <w:rPr>
      <w:rFonts w:ascii="仿宋_GB2312" w:eastAsia="微软雅黑"/>
      <w:b/>
      <w:kern w:val="2"/>
      <w:sz w:val="23"/>
      <w:szCs w:val="23"/>
      <w:lang w:val="en-US" w:eastAsia="zh-CN" w:bidi="ar-SA"/>
    </w:rPr>
  </w:style>
  <w:style w:type="character" w:customStyle="1" w:styleId="290">
    <w:name w:val="样式8 Char"/>
    <w:qFormat/>
    <w:uiPriority w:val="0"/>
    <w:rPr>
      <w:rFonts w:ascii="仿宋_GB2312" w:hAnsi="宋体" w:eastAsia="仿宋_GB2312"/>
      <w:b/>
      <w:bCs/>
      <w:kern w:val="2"/>
      <w:sz w:val="24"/>
      <w:szCs w:val="24"/>
    </w:rPr>
  </w:style>
  <w:style w:type="character" w:customStyle="1" w:styleId="291">
    <w:name w:val="表格 Char Char"/>
    <w:qFormat/>
    <w:uiPriority w:val="0"/>
    <w:rPr>
      <w:rFonts w:ascii="宋体" w:hAnsi="宋体" w:eastAsia="宋体"/>
      <w:lang w:bidi="ar-SA"/>
    </w:rPr>
  </w:style>
  <w:style w:type="character" w:customStyle="1" w:styleId="292">
    <w:name w:val="正文文本 字符1"/>
    <w:qFormat/>
    <w:uiPriority w:val="0"/>
    <w:rPr>
      <w:rFonts w:ascii="Calibri" w:hAnsi="Calibri" w:eastAsia="黑体" w:cs="Arial"/>
      <w:snapToGrid w:val="0"/>
      <w:kern w:val="2"/>
      <w:sz w:val="28"/>
      <w:szCs w:val="21"/>
    </w:rPr>
  </w:style>
  <w:style w:type="character" w:customStyle="1" w:styleId="293">
    <w:name w:val="标题 5 Char"/>
    <w:link w:val="7"/>
    <w:qFormat/>
    <w:uiPriority w:val="9"/>
    <w:rPr>
      <w:b/>
      <w:bCs/>
      <w:kern w:val="2"/>
      <w:sz w:val="28"/>
      <w:szCs w:val="28"/>
    </w:rPr>
  </w:style>
  <w:style w:type="character" w:customStyle="1" w:styleId="294">
    <w:name w:val="标题 6 Char1"/>
    <w:qFormat/>
    <w:uiPriority w:val="0"/>
    <w:rPr>
      <w:rFonts w:ascii="Arial" w:hAnsi="Arial" w:eastAsia="黑体" w:cs="Times New Roman"/>
      <w:b/>
      <w:sz w:val="24"/>
      <w:szCs w:val="20"/>
      <w:lang w:bidi="ar-SA"/>
    </w:rPr>
  </w:style>
  <w:style w:type="character" w:customStyle="1" w:styleId="295">
    <w:name w:val="带编号样式 Char"/>
    <w:qFormat/>
    <w:uiPriority w:val="0"/>
    <w:rPr>
      <w:rFonts w:ascii="仿宋_GB2312" w:eastAsia="仿宋_GB2312"/>
      <w:color w:val="000000"/>
      <w:sz w:val="24"/>
      <w:lang w:bidi="ar-SA"/>
    </w:rPr>
  </w:style>
  <w:style w:type="character" w:customStyle="1" w:styleId="296">
    <w:name w:val="unnamed31"/>
    <w:qFormat/>
    <w:uiPriority w:val="0"/>
    <w:rPr>
      <w:rFonts w:ascii="Tahoma" w:hAnsi="Tahoma" w:eastAsia="宋体"/>
      <w:b/>
      <w:kern w:val="2"/>
      <w:sz w:val="24"/>
      <w:szCs w:val="32"/>
      <w:u w:val="none"/>
      <w:lang w:val="en-US" w:eastAsia="zh-CN" w:bidi="ar-SA"/>
    </w:rPr>
  </w:style>
  <w:style w:type="character" w:customStyle="1" w:styleId="297">
    <w:name w:val="正文首行缩进 Char Char Char Char Char Char1"/>
    <w:qFormat/>
    <w:uiPriority w:val="0"/>
    <w:rPr>
      <w:rFonts w:ascii="宋体" w:eastAsia="宋体"/>
      <w:kern w:val="2"/>
      <w:sz w:val="24"/>
      <w:szCs w:val="24"/>
      <w:lang w:val="zh-CN" w:bidi="ar-SA"/>
    </w:rPr>
  </w:style>
  <w:style w:type="character" w:customStyle="1" w:styleId="298">
    <w:name w:val="称呼 Char"/>
    <w:link w:val="20"/>
    <w:qFormat/>
    <w:uiPriority w:val="0"/>
    <w:rPr>
      <w:rFonts w:ascii="仿宋_GB2312" w:eastAsia="仿宋_GB2312"/>
      <w:kern w:val="2"/>
      <w:sz w:val="28"/>
    </w:rPr>
  </w:style>
  <w:style w:type="character" w:customStyle="1" w:styleId="299">
    <w:name w:val="文本正文 Char Char"/>
    <w:qFormat/>
    <w:locked/>
    <w:uiPriority w:val="0"/>
    <w:rPr>
      <w:sz w:val="24"/>
      <w:lang w:bidi="ar-SA"/>
    </w:rPr>
  </w:style>
  <w:style w:type="character" w:customStyle="1" w:styleId="300">
    <w:name w:val="正文缩进 字符"/>
    <w:qFormat/>
    <w:uiPriority w:val="0"/>
    <w:rPr>
      <w:rFonts w:ascii="宋体" w:eastAsia="宋体"/>
      <w:snapToGrid w:val="0"/>
      <w:color w:val="000000"/>
      <w:kern w:val="28"/>
      <w:sz w:val="28"/>
      <w:lang w:val="en-US" w:eastAsia="zh-CN" w:bidi="ar-SA"/>
    </w:rPr>
  </w:style>
  <w:style w:type="character" w:customStyle="1" w:styleId="301">
    <w:name w:val="HTML 预设格式 Char"/>
    <w:link w:val="58"/>
    <w:qFormat/>
    <w:uiPriority w:val="0"/>
    <w:rPr>
      <w:rFonts w:ascii="黑体" w:hAnsi="Courier New" w:eastAsia="黑体"/>
    </w:rPr>
  </w:style>
  <w:style w:type="character" w:customStyle="1" w:styleId="302">
    <w:name w:val="正文文本 2 Char1"/>
    <w:link w:val="57"/>
    <w:qFormat/>
    <w:uiPriority w:val="0"/>
    <w:rPr>
      <w:kern w:val="2"/>
      <w:sz w:val="21"/>
      <w:szCs w:val="24"/>
    </w:rPr>
  </w:style>
  <w:style w:type="character" w:customStyle="1" w:styleId="303">
    <w:name w:val="样式 样式 标题 4h4H4Fab-4T5Ref Heading 1rh1Heading sqlsect 1.2.3.... +... Char"/>
    <w:link w:val="304"/>
    <w:qFormat/>
    <w:uiPriority w:val="0"/>
    <w:rPr>
      <w:rFonts w:ascii="微软雅黑" w:hAnsi="微软雅黑" w:eastAsia="微软雅黑"/>
      <w:b/>
      <w:bCs/>
      <w:kern w:val="2"/>
      <w:sz w:val="24"/>
      <w:szCs w:val="28"/>
    </w:rPr>
  </w:style>
  <w:style w:type="paragraph" w:customStyle="1" w:styleId="304">
    <w:name w:val="样式 样式 标题 4h4H4Fab-4T5Ref Heading 1rh1Heading sqlsect 1.2.3.... +..."/>
    <w:basedOn w:val="305"/>
    <w:link w:val="303"/>
    <w:qFormat/>
    <w:uiPriority w:val="0"/>
    <w:pPr>
      <w:tabs>
        <w:tab w:val="left" w:pos="2356"/>
      </w:tabs>
    </w:pPr>
  </w:style>
  <w:style w:type="paragraph" w:customStyle="1" w:styleId="305">
    <w:name w:val="样式 标题 4h4H4Fab-4T5Ref Heading 1rh1Heading sqlsect 1.2.3...."/>
    <w:basedOn w:val="6"/>
    <w:link w:val="413"/>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6">
    <w:name w:val="正文非缩进 Char"/>
    <w:qFormat/>
    <w:uiPriority w:val="0"/>
    <w:rPr>
      <w:rFonts w:ascii="宋体" w:eastAsia="宋体"/>
      <w:snapToGrid w:val="0"/>
      <w:color w:val="000000"/>
      <w:kern w:val="28"/>
      <w:sz w:val="28"/>
      <w:lang w:val="en-US" w:eastAsia="zh-CN" w:bidi="ar-SA"/>
    </w:rPr>
  </w:style>
  <w:style w:type="character" w:customStyle="1" w:styleId="307">
    <w:name w:val="标题 7 Char"/>
    <w:link w:val="9"/>
    <w:qFormat/>
    <w:uiPriority w:val="0"/>
    <w:rPr>
      <w:b/>
      <w:bCs/>
      <w:kern w:val="2"/>
      <w:sz w:val="24"/>
      <w:szCs w:val="24"/>
    </w:rPr>
  </w:style>
  <w:style w:type="character" w:customStyle="1" w:styleId="308">
    <w:name w:val="正文文本缩进 2 Char"/>
    <w:link w:val="38"/>
    <w:qFormat/>
    <w:uiPriority w:val="0"/>
    <w:rPr>
      <w:rFonts w:ascii="宋体"/>
      <w:sz w:val="28"/>
    </w:rPr>
  </w:style>
  <w:style w:type="character" w:customStyle="1" w:styleId="309">
    <w:name w:val="Char Char5"/>
    <w:qFormat/>
    <w:uiPriority w:val="0"/>
    <w:rPr>
      <w:rFonts w:ascii="宋体" w:hAnsi="Courier New" w:eastAsia="宋体"/>
      <w:kern w:val="2"/>
      <w:sz w:val="21"/>
      <w:lang w:val="en-US" w:eastAsia="zh-CN"/>
    </w:rPr>
  </w:style>
  <w:style w:type="character" w:customStyle="1" w:styleId="310">
    <w:name w:val="脚注文本 Char"/>
    <w:link w:val="51"/>
    <w:qFormat/>
    <w:uiPriority w:val="0"/>
    <w:rPr>
      <w:color w:val="0000FF"/>
      <w:sz w:val="21"/>
    </w:rPr>
  </w:style>
  <w:style w:type="character" w:customStyle="1" w:styleId="311">
    <w:name w:val="称呼 Char1"/>
    <w:qFormat/>
    <w:uiPriority w:val="0"/>
    <w:rPr>
      <w:rFonts w:ascii="Times New Roman" w:hAnsi="Times New Roman" w:eastAsia="宋体" w:cs="Times New Roman"/>
      <w:szCs w:val="24"/>
    </w:rPr>
  </w:style>
  <w:style w:type="character" w:customStyle="1" w:styleId="312">
    <w:name w:val="正文1 Char"/>
    <w:qFormat/>
    <w:uiPriority w:val="0"/>
    <w:rPr>
      <w:rFonts w:ascii="宋体" w:eastAsia="宋体"/>
      <w:snapToGrid w:val="0"/>
      <w:color w:val="000000"/>
      <w:kern w:val="28"/>
      <w:sz w:val="28"/>
      <w:lang w:val="en-US" w:eastAsia="zh-CN" w:bidi="ar-SA"/>
    </w:rPr>
  </w:style>
  <w:style w:type="character" w:customStyle="1" w:styleId="313">
    <w:name w:val="正文缩进 Char1"/>
    <w:qFormat/>
    <w:uiPriority w:val="0"/>
    <w:rPr>
      <w:rFonts w:ascii="宋体" w:eastAsia="宋体"/>
      <w:snapToGrid w:val="0"/>
      <w:color w:val="000000"/>
      <w:kern w:val="28"/>
      <w:sz w:val="28"/>
      <w:lang w:val="en-US" w:eastAsia="zh-CN" w:bidi="ar-SA"/>
    </w:rPr>
  </w:style>
  <w:style w:type="character" w:customStyle="1" w:styleId="314">
    <w:name w:val="font21"/>
    <w:qFormat/>
    <w:uiPriority w:val="0"/>
    <w:rPr>
      <w:rFonts w:hint="eastAsia" w:ascii="宋体" w:hAnsi="宋体" w:eastAsia="宋体"/>
      <w:kern w:val="2"/>
      <w:sz w:val="28"/>
      <w:szCs w:val="28"/>
      <w:lang w:val="en-US" w:eastAsia="zh-CN" w:bidi="ar-SA"/>
    </w:rPr>
  </w:style>
  <w:style w:type="character" w:customStyle="1" w:styleId="315">
    <w:name w:val="Char Char26"/>
    <w:qFormat/>
    <w:uiPriority w:val="6"/>
    <w:rPr>
      <w:kern w:val="1"/>
      <w:sz w:val="21"/>
      <w:szCs w:val="24"/>
    </w:rPr>
  </w:style>
  <w:style w:type="character" w:customStyle="1" w:styleId="316">
    <w:name w:val="Item List Char"/>
    <w:link w:val="317"/>
    <w:qFormat/>
    <w:uiPriority w:val="0"/>
    <w:rPr>
      <w:rFonts w:ascii="Arial"/>
      <w:bCs/>
      <w:sz w:val="21"/>
      <w:szCs w:val="21"/>
      <w:lang w:val="en-US" w:eastAsia="zh-CN" w:bidi="ar-SA"/>
    </w:rPr>
  </w:style>
  <w:style w:type="paragraph" w:customStyle="1" w:styleId="317">
    <w:name w:val="Item List"/>
    <w:link w:val="316"/>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8">
    <w:name w:val="批注框文本 Char1"/>
    <w:qFormat/>
    <w:uiPriority w:val="0"/>
    <w:rPr>
      <w:rFonts w:ascii="Times New Roman" w:hAnsi="Times New Roman" w:eastAsia="宋体" w:cs="Times New Roman"/>
      <w:sz w:val="18"/>
      <w:szCs w:val="18"/>
    </w:rPr>
  </w:style>
  <w:style w:type="character" w:customStyle="1" w:styleId="319">
    <w:name w:val="纯文本 Char1"/>
    <w:link w:val="320"/>
    <w:qFormat/>
    <w:uiPriority w:val="0"/>
    <w:rPr>
      <w:rFonts w:ascii="宋体" w:hAnsi="Courier New"/>
    </w:rPr>
  </w:style>
  <w:style w:type="paragraph" w:customStyle="1" w:styleId="320">
    <w:name w:val="纯文本1"/>
    <w:basedOn w:val="1"/>
    <w:link w:val="319"/>
    <w:qFormat/>
    <w:uiPriority w:val="0"/>
    <w:pPr>
      <w:adjustRightInd/>
    </w:pPr>
    <w:rPr>
      <w:rFonts w:ascii="宋体" w:hAnsi="Courier New"/>
      <w:kern w:val="0"/>
      <w:sz w:val="20"/>
      <w:szCs w:val="20"/>
    </w:rPr>
  </w:style>
  <w:style w:type="character" w:customStyle="1" w:styleId="321">
    <w:name w:val="正文首行缩进 Char"/>
    <w:link w:val="24"/>
    <w:qFormat/>
    <w:uiPriority w:val="0"/>
    <w:rPr>
      <w:rFonts w:ascii="宋体"/>
      <w:kern w:val="2"/>
      <w:sz w:val="24"/>
      <w:lang w:val="zh-CN"/>
    </w:rPr>
  </w:style>
  <w:style w:type="character" w:customStyle="1" w:styleId="322">
    <w:name w:val="h3 Char"/>
    <w:qFormat/>
    <w:uiPriority w:val="0"/>
    <w:rPr>
      <w:rFonts w:eastAsia="宋体"/>
      <w:b/>
      <w:kern w:val="2"/>
      <w:sz w:val="32"/>
      <w:lang w:val="en-US" w:eastAsia="zh-CN" w:bidi="ar-SA"/>
    </w:rPr>
  </w:style>
  <w:style w:type="character" w:customStyle="1" w:styleId="323">
    <w:name w:val="dandyren_title1"/>
    <w:qFormat/>
    <w:uiPriority w:val="0"/>
    <w:rPr>
      <w:b/>
      <w:bCs/>
      <w:color w:val="FF6633"/>
      <w:sz w:val="18"/>
      <w:szCs w:val="18"/>
    </w:rPr>
  </w:style>
  <w:style w:type="character" w:customStyle="1" w:styleId="324">
    <w:name w:val="Char Char31"/>
    <w:qFormat/>
    <w:uiPriority w:val="6"/>
    <w:rPr>
      <w:rFonts w:ascii="Arial" w:hAnsi="Arial" w:eastAsia="黑体"/>
      <w:kern w:val="1"/>
      <w:sz w:val="24"/>
      <w:szCs w:val="24"/>
    </w:rPr>
  </w:style>
  <w:style w:type="character" w:customStyle="1" w:styleId="325">
    <w:name w:val="h Char1"/>
    <w:qFormat/>
    <w:uiPriority w:val="0"/>
    <w:rPr>
      <w:sz w:val="18"/>
      <w:szCs w:val="18"/>
    </w:rPr>
  </w:style>
  <w:style w:type="character" w:customStyle="1" w:styleId="326">
    <w:name w:val="solutionfonts"/>
    <w:qFormat/>
    <w:uiPriority w:val="0"/>
  </w:style>
  <w:style w:type="character" w:customStyle="1" w:styleId="327">
    <w:name w:val="标题 4 Char2"/>
    <w:link w:val="6"/>
    <w:qFormat/>
    <w:uiPriority w:val="9"/>
    <w:rPr>
      <w:rFonts w:ascii="Arial" w:hAnsi="Arial" w:eastAsia="黑体"/>
      <w:b/>
      <w:bCs/>
      <w:kern w:val="2"/>
      <w:sz w:val="28"/>
      <w:szCs w:val="28"/>
      <w:lang w:val="zh-CN"/>
    </w:rPr>
  </w:style>
  <w:style w:type="character" w:customStyle="1" w:styleId="328">
    <w:name w:val="首行缩进 Char"/>
    <w:qFormat/>
    <w:uiPriority w:val="0"/>
    <w:rPr>
      <w:rFonts w:ascii="宋体" w:eastAsia="宋体"/>
      <w:kern w:val="2"/>
      <w:sz w:val="24"/>
      <w:lang w:val="en-US" w:eastAsia="zh-CN" w:bidi="ar-SA"/>
    </w:rPr>
  </w:style>
  <w:style w:type="character" w:customStyle="1" w:styleId="329">
    <w:name w:val="Char Char52"/>
    <w:qFormat/>
    <w:uiPriority w:val="0"/>
    <w:rPr>
      <w:rFonts w:ascii="宋体" w:hAnsi="Courier New" w:eastAsia="宋体"/>
      <w:kern w:val="2"/>
      <w:sz w:val="21"/>
      <w:lang w:val="en-US" w:eastAsia="zh-CN"/>
    </w:rPr>
  </w:style>
  <w:style w:type="character" w:customStyle="1" w:styleId="330">
    <w:name w:val="正文文本 3 Char"/>
    <w:link w:val="21"/>
    <w:qFormat/>
    <w:uiPriority w:val="0"/>
    <w:rPr>
      <w:kern w:val="2"/>
      <w:sz w:val="21"/>
    </w:rPr>
  </w:style>
  <w:style w:type="character" w:customStyle="1" w:styleId="331">
    <w:name w:val="font31"/>
    <w:qFormat/>
    <w:uiPriority w:val="0"/>
    <w:rPr>
      <w:rFonts w:hint="eastAsia" w:ascii="仿宋" w:hAnsi="仿宋" w:eastAsia="仿宋" w:cs="仿宋"/>
      <w:color w:val="000000"/>
      <w:sz w:val="20"/>
      <w:szCs w:val="20"/>
      <w:u w:val="none"/>
    </w:rPr>
  </w:style>
  <w:style w:type="character" w:customStyle="1" w:styleId="332">
    <w:name w:val="正文说明 Char"/>
    <w:link w:val="333"/>
    <w:qFormat/>
    <w:uiPriority w:val="0"/>
    <w:rPr>
      <w:sz w:val="24"/>
      <w:szCs w:val="24"/>
    </w:rPr>
  </w:style>
  <w:style w:type="paragraph" w:customStyle="1" w:styleId="333">
    <w:name w:val="正文说明"/>
    <w:basedOn w:val="1"/>
    <w:link w:val="332"/>
    <w:qFormat/>
    <w:uiPriority w:val="0"/>
    <w:pPr>
      <w:adjustRightInd/>
      <w:spacing w:line="360" w:lineRule="auto"/>
    </w:pPr>
    <w:rPr>
      <w:kern w:val="0"/>
      <w:sz w:val="24"/>
    </w:rPr>
  </w:style>
  <w:style w:type="character" w:customStyle="1" w:styleId="334">
    <w:name w:val="脚注文本 Char1"/>
    <w:qFormat/>
    <w:uiPriority w:val="0"/>
    <w:rPr>
      <w:rFonts w:ascii="Times New Roman" w:hAnsi="Times New Roman" w:eastAsia="宋体" w:cs="Times New Roman"/>
      <w:sz w:val="18"/>
      <w:szCs w:val="18"/>
    </w:rPr>
  </w:style>
  <w:style w:type="character" w:customStyle="1" w:styleId="335">
    <w:name w:val="Char Char1211"/>
    <w:qFormat/>
    <w:uiPriority w:val="0"/>
    <w:rPr>
      <w:rFonts w:ascii="仿宋_GB2312" w:eastAsia="仿宋_GB2312"/>
      <w:b/>
      <w:bCs/>
      <w:kern w:val="2"/>
      <w:sz w:val="24"/>
      <w:szCs w:val="24"/>
      <w:lang w:val="zh-CN" w:eastAsia="zh-CN" w:bidi="ar-SA"/>
    </w:rPr>
  </w:style>
  <w:style w:type="character" w:customStyle="1" w:styleId="336">
    <w:name w:val="标题 Char"/>
    <w:qFormat/>
    <w:uiPriority w:val="0"/>
    <w:rPr>
      <w:rFonts w:eastAsia="宋体"/>
      <w:b/>
      <w:sz w:val="24"/>
      <w:lang w:val="en-GB" w:eastAsia="zh-CN" w:bidi="ar-SA"/>
    </w:rPr>
  </w:style>
  <w:style w:type="character" w:customStyle="1" w:styleId="337">
    <w:name w:val="Char Char35"/>
    <w:qFormat/>
    <w:uiPriority w:val="6"/>
    <w:rPr>
      <w:rFonts w:ascii="Arial" w:hAnsi="Arial" w:eastAsia="黑体"/>
      <w:b/>
      <w:kern w:val="1"/>
      <w:sz w:val="28"/>
      <w:szCs w:val="28"/>
      <w:lang w:val="zh-CN"/>
    </w:rPr>
  </w:style>
  <w:style w:type="character" w:customStyle="1" w:styleId="338">
    <w:name w:val="纯文本 Char Char Char"/>
    <w:qFormat/>
    <w:uiPriority w:val="0"/>
    <w:rPr>
      <w:rFonts w:ascii="宋体" w:hAnsi="Courier New" w:eastAsia="宋体"/>
      <w:kern w:val="2"/>
      <w:sz w:val="21"/>
      <w:lang w:val="en-US" w:eastAsia="zh-CN" w:bidi="ar-SA"/>
    </w:rPr>
  </w:style>
  <w:style w:type="character" w:customStyle="1" w:styleId="339">
    <w:name w:val="Table Text Char"/>
    <w:link w:val="340"/>
    <w:qFormat/>
    <w:uiPriority w:val="0"/>
    <w:rPr>
      <w:sz w:val="24"/>
      <w:szCs w:val="24"/>
    </w:rPr>
  </w:style>
  <w:style w:type="paragraph" w:customStyle="1" w:styleId="340">
    <w:name w:val="Table Text"/>
    <w:basedOn w:val="1"/>
    <w:link w:val="339"/>
    <w:qFormat/>
    <w:uiPriority w:val="0"/>
    <w:pPr>
      <w:widowControl/>
      <w:spacing w:before="60" w:after="60"/>
      <w:jc w:val="left"/>
    </w:pPr>
    <w:rPr>
      <w:kern w:val="0"/>
      <w:sz w:val="24"/>
    </w:rPr>
  </w:style>
  <w:style w:type="character" w:customStyle="1" w:styleId="341">
    <w:name w:val="正文1 Char1"/>
    <w:qFormat/>
    <w:uiPriority w:val="0"/>
    <w:rPr>
      <w:rFonts w:ascii="仿宋_GB2312" w:hAnsi="Courier New" w:eastAsia="仿宋_GB2312"/>
      <w:kern w:val="28"/>
      <w:sz w:val="24"/>
      <w:szCs w:val="24"/>
      <w:lang w:val="en-US" w:eastAsia="zh-CN"/>
    </w:rPr>
  </w:style>
  <w:style w:type="character" w:customStyle="1" w:styleId="342">
    <w:name w:val="页脚 Char1"/>
    <w:qFormat/>
    <w:uiPriority w:val="0"/>
    <w:rPr>
      <w:rFonts w:eastAsia="宋体"/>
      <w:kern w:val="2"/>
      <w:sz w:val="18"/>
      <w:szCs w:val="18"/>
      <w:lang w:val="en-US" w:eastAsia="zh-CN" w:bidi="ar-SA"/>
    </w:rPr>
  </w:style>
  <w:style w:type="character" w:customStyle="1" w:styleId="343">
    <w:name w:val="Bold"/>
    <w:qFormat/>
    <w:uiPriority w:val="0"/>
    <w:rPr>
      <w:rFonts w:ascii="Arial" w:hAnsi="Arial" w:eastAsia="黑体" w:cs="Times New Roman"/>
      <w:b/>
      <w:kern w:val="2"/>
      <w:sz w:val="32"/>
      <w:szCs w:val="32"/>
      <w:lang w:val="en-US" w:eastAsia="zh-CN" w:bidi="ar-SA"/>
    </w:rPr>
  </w:style>
  <w:style w:type="character" w:customStyle="1" w:styleId="344">
    <w:name w:val="批注文字 Char1"/>
    <w:link w:val="19"/>
    <w:qFormat/>
    <w:uiPriority w:val="99"/>
    <w:rPr>
      <w:kern w:val="2"/>
      <w:sz w:val="21"/>
      <w:szCs w:val="24"/>
    </w:rPr>
  </w:style>
  <w:style w:type="character" w:customStyle="1" w:styleId="345">
    <w:name w:val="签名 Char"/>
    <w:link w:val="43"/>
    <w:qFormat/>
    <w:uiPriority w:val="0"/>
    <w:rPr>
      <w:rFonts w:eastAsia="仿宋_GB2312"/>
      <w:sz w:val="24"/>
    </w:rPr>
  </w:style>
  <w:style w:type="character" w:customStyle="1" w:styleId="346">
    <w:name w:val="hui3"/>
    <w:qFormat/>
    <w:uiPriority w:val="0"/>
    <w:rPr>
      <w:color w:val="333333"/>
    </w:rPr>
  </w:style>
  <w:style w:type="character" w:customStyle="1" w:styleId="347">
    <w:name w:val="Char Char17"/>
    <w:qFormat/>
    <w:uiPriority w:val="6"/>
    <w:rPr>
      <w:rFonts w:eastAsia="仿宋_GB2312"/>
      <w:sz w:val="24"/>
    </w:rPr>
  </w:style>
  <w:style w:type="character" w:customStyle="1" w:styleId="348">
    <w:name w:val="标题 4 字符"/>
    <w:qFormat/>
    <w:uiPriority w:val="9"/>
    <w:rPr>
      <w:rFonts w:ascii="等线 Light" w:hAnsi="等线 Light" w:eastAsia="等线 Light" w:cs="Times New Roman"/>
      <w:b/>
      <w:bCs/>
      <w:snapToGrid w:val="0"/>
      <w:kern w:val="0"/>
      <w:sz w:val="28"/>
      <w:szCs w:val="28"/>
    </w:rPr>
  </w:style>
  <w:style w:type="character" w:customStyle="1" w:styleId="349">
    <w:name w:val="Char Char37"/>
    <w:qFormat/>
    <w:uiPriority w:val="6"/>
    <w:rPr>
      <w:b/>
      <w:kern w:val="1"/>
      <w:sz w:val="44"/>
      <w:szCs w:val="44"/>
    </w:rPr>
  </w:style>
  <w:style w:type="character" w:customStyle="1" w:styleId="350">
    <w:name w:val="列出段落 Char"/>
    <w:qFormat/>
    <w:uiPriority w:val="0"/>
    <w:rPr>
      <w:rFonts w:eastAsia="楷体_GB2312" w:cs="Lucida Sans"/>
      <w:kern w:val="2"/>
      <w:sz w:val="24"/>
      <w:szCs w:val="24"/>
      <w:lang w:val="en-US" w:eastAsia="zh-CN" w:bidi="ar-SA"/>
    </w:rPr>
  </w:style>
  <w:style w:type="character" w:customStyle="1" w:styleId="351">
    <w:name w:val="正文文本缩进 3 Char1"/>
    <w:semiHidden/>
    <w:qFormat/>
    <w:uiPriority w:val="99"/>
    <w:rPr>
      <w:rFonts w:ascii="Times New Roman" w:hAnsi="Times New Roman" w:eastAsia="宋体" w:cs="Times New Roman"/>
      <w:sz w:val="16"/>
      <w:szCs w:val="16"/>
    </w:rPr>
  </w:style>
  <w:style w:type="character" w:customStyle="1" w:styleId="352">
    <w:name w:val="公文正文 Char Char"/>
    <w:link w:val="353"/>
    <w:qFormat/>
    <w:uiPriority w:val="0"/>
    <w:rPr>
      <w:rFonts w:ascii="仿宋_GB2312" w:eastAsia="仿宋_GB2312"/>
      <w:kern w:val="2"/>
      <w:sz w:val="24"/>
      <w:szCs w:val="24"/>
    </w:rPr>
  </w:style>
  <w:style w:type="paragraph" w:customStyle="1" w:styleId="353">
    <w:name w:val="公文正文"/>
    <w:basedOn w:val="1"/>
    <w:link w:val="352"/>
    <w:qFormat/>
    <w:uiPriority w:val="0"/>
    <w:pPr>
      <w:adjustRightInd/>
      <w:spacing w:before="156" w:line="360" w:lineRule="auto"/>
      <w:ind w:firstLine="360" w:firstLineChars="200"/>
    </w:pPr>
    <w:rPr>
      <w:rFonts w:ascii="仿宋_GB2312" w:eastAsia="仿宋_GB2312"/>
      <w:sz w:val="24"/>
    </w:rPr>
  </w:style>
  <w:style w:type="character" w:customStyle="1" w:styleId="354">
    <w:name w:val="Table Text Char1"/>
    <w:qFormat/>
    <w:uiPriority w:val="0"/>
    <w:rPr>
      <w:rFonts w:eastAsia="宋体"/>
      <w:sz w:val="24"/>
      <w:szCs w:val="24"/>
      <w:lang w:val="en-US" w:eastAsia="zh-CN" w:bidi="ar-SA"/>
    </w:rPr>
  </w:style>
  <w:style w:type="character" w:customStyle="1" w:styleId="355">
    <w:name w:val="标题 1 Char Char"/>
    <w:qFormat/>
    <w:uiPriority w:val="0"/>
    <w:rPr>
      <w:rFonts w:hint="eastAsia" w:ascii="宋体" w:hAnsi="宋体" w:eastAsia="宋体"/>
      <w:b/>
      <w:spacing w:val="-2"/>
      <w:sz w:val="24"/>
      <w:lang w:val="en-US" w:eastAsia="zh-CN" w:bidi="ar-SA"/>
    </w:rPr>
  </w:style>
  <w:style w:type="character" w:customStyle="1" w:styleId="356">
    <w:name w:val="正文（缩进2汉字） Char"/>
    <w:link w:val="357"/>
    <w:qFormat/>
    <w:uiPriority w:val="0"/>
    <w:rPr>
      <w:rFonts w:ascii="宋体"/>
    </w:rPr>
  </w:style>
  <w:style w:type="paragraph" w:customStyle="1" w:styleId="357">
    <w:name w:val="正文（缩进2汉字）"/>
    <w:basedOn w:val="1"/>
    <w:link w:val="356"/>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8">
    <w:name w:val="标题 8 Char"/>
    <w:link w:val="10"/>
    <w:qFormat/>
    <w:uiPriority w:val="0"/>
    <w:rPr>
      <w:rFonts w:ascii="Arial" w:hAnsi="Arial" w:eastAsia="黑体"/>
      <w:kern w:val="2"/>
      <w:sz w:val="24"/>
      <w:szCs w:val="24"/>
    </w:rPr>
  </w:style>
  <w:style w:type="character" w:customStyle="1" w:styleId="359">
    <w:name w:val="标书表格字体格式 Char"/>
    <w:qFormat/>
    <w:uiPriority w:val="0"/>
    <w:rPr>
      <w:kern w:val="2"/>
      <w:sz w:val="21"/>
      <w:szCs w:val="24"/>
      <w:lang w:bidi="ar-SA"/>
    </w:rPr>
  </w:style>
  <w:style w:type="character" w:customStyle="1" w:styleId="360">
    <w:name w:val="tw4winError"/>
    <w:qFormat/>
    <w:uiPriority w:val="0"/>
    <w:rPr>
      <w:rFonts w:ascii="Courier New" w:hAnsi="Courier New" w:cs="Courier New"/>
      <w:color w:val="00FF00"/>
      <w:sz w:val="40"/>
      <w:szCs w:val="40"/>
    </w:rPr>
  </w:style>
  <w:style w:type="character" w:customStyle="1" w:styleId="361">
    <w:name w:val="Body Text(ch) Char Char"/>
    <w:qFormat/>
    <w:uiPriority w:val="0"/>
    <w:rPr>
      <w:rFonts w:ascii="宋体"/>
      <w:kern w:val="2"/>
      <w:sz w:val="24"/>
      <w:szCs w:val="21"/>
      <w:lang w:val="zh-CN"/>
    </w:rPr>
  </w:style>
  <w:style w:type="character" w:customStyle="1" w:styleId="362">
    <w:name w:val="正文首行缩进两字 Char"/>
    <w:qFormat/>
    <w:uiPriority w:val="0"/>
    <w:rPr>
      <w:sz w:val="24"/>
      <w:szCs w:val="24"/>
      <w:lang w:val="en-US" w:eastAsia="zh-CN" w:bidi="ar-SA"/>
    </w:rPr>
  </w:style>
  <w:style w:type="character" w:customStyle="1" w:styleId="363">
    <w:name w:val="正文文本 Char"/>
    <w:qFormat/>
    <w:uiPriority w:val="0"/>
    <w:rPr>
      <w:rFonts w:eastAsia="宋体"/>
      <w:kern w:val="2"/>
      <w:sz w:val="24"/>
      <w:szCs w:val="24"/>
      <w:lang w:val="en-US" w:eastAsia="zh-CN" w:bidi="ar-SA"/>
    </w:rPr>
  </w:style>
  <w:style w:type="character" w:customStyle="1" w:styleId="364">
    <w:name w:val="文档结构图 字符1"/>
    <w:qFormat/>
    <w:uiPriority w:val="0"/>
    <w:rPr>
      <w:rFonts w:ascii="宋体" w:hAnsi="Calibri" w:eastAsia="黑体" w:cs="Arial"/>
      <w:snapToGrid w:val="0"/>
      <w:kern w:val="2"/>
      <w:sz w:val="18"/>
      <w:szCs w:val="18"/>
    </w:rPr>
  </w:style>
  <w:style w:type="character" w:customStyle="1" w:styleId="365">
    <w:name w:val="content"/>
    <w:qFormat/>
    <w:uiPriority w:val="0"/>
  </w:style>
  <w:style w:type="character" w:customStyle="1" w:styleId="366">
    <w:name w:val="tw4winPopup"/>
    <w:qFormat/>
    <w:uiPriority w:val="0"/>
    <w:rPr>
      <w:rFonts w:ascii="Courier New" w:hAnsi="Courier New" w:cs="Courier New"/>
      <w:color w:val="008000"/>
      <w:lang w:val="en-US" w:eastAsia="zh-CN"/>
    </w:rPr>
  </w:style>
  <w:style w:type="character" w:customStyle="1" w:styleId="367">
    <w:name w:val="param-name"/>
    <w:qFormat/>
    <w:uiPriority w:val="99"/>
    <w:rPr>
      <w:rFonts w:ascii="Arial" w:hAnsi="Arial" w:eastAsia="黑体" w:cs="Arial"/>
      <w:snapToGrid w:val="0"/>
      <w:kern w:val="0"/>
      <w:szCs w:val="21"/>
    </w:rPr>
  </w:style>
  <w:style w:type="character" w:customStyle="1" w:styleId="368">
    <w:name w:val="标准正文格式 Char"/>
    <w:qFormat/>
    <w:uiPriority w:val="0"/>
    <w:rPr>
      <w:rFonts w:ascii="宋体" w:eastAsia="仿宋_GB2312" w:cs="宋体"/>
      <w:color w:val="000000"/>
      <w:sz w:val="24"/>
      <w:lang w:val="en-US" w:eastAsia="zh-CN" w:bidi="ar-SA"/>
    </w:rPr>
  </w:style>
  <w:style w:type="character" w:customStyle="1" w:styleId="369">
    <w:name w:val="Char Char212"/>
    <w:qFormat/>
    <w:uiPriority w:val="0"/>
    <w:rPr>
      <w:rFonts w:eastAsia="宋体"/>
      <w:b/>
      <w:bCs/>
      <w:kern w:val="2"/>
      <w:sz w:val="21"/>
      <w:szCs w:val="24"/>
      <w:lang w:val="en-US" w:eastAsia="zh-CN" w:bidi="ar-SA"/>
    </w:rPr>
  </w:style>
  <w:style w:type="character" w:customStyle="1" w:styleId="370">
    <w:name w:val="文档结构图 Char"/>
    <w:qFormat/>
    <w:uiPriority w:val="0"/>
    <w:rPr>
      <w:rFonts w:eastAsia="宋体"/>
      <w:kern w:val="2"/>
      <w:sz w:val="21"/>
      <w:szCs w:val="24"/>
      <w:lang w:val="en-US" w:eastAsia="zh-CN" w:bidi="ar-SA"/>
    </w:rPr>
  </w:style>
  <w:style w:type="character" w:customStyle="1" w:styleId="371">
    <w:name w:val="zbggmain style9"/>
    <w:qFormat/>
    <w:uiPriority w:val="0"/>
  </w:style>
  <w:style w:type="character" w:customStyle="1" w:styleId="372">
    <w:name w:val="Char Char16"/>
    <w:qFormat/>
    <w:uiPriority w:val="6"/>
    <w:rPr>
      <w:kern w:val="1"/>
      <w:sz w:val="18"/>
      <w:szCs w:val="18"/>
    </w:rPr>
  </w:style>
  <w:style w:type="character" w:customStyle="1" w:styleId="373">
    <w:name w:val="font51"/>
    <w:qFormat/>
    <w:uiPriority w:val="0"/>
    <w:rPr>
      <w:rFonts w:hint="eastAsia" w:ascii="仿宋" w:hAnsi="仿宋" w:eastAsia="仿宋" w:cs="仿宋"/>
      <w:color w:val="000000"/>
      <w:sz w:val="20"/>
      <w:szCs w:val="20"/>
      <w:u w:val="none"/>
    </w:rPr>
  </w:style>
  <w:style w:type="character" w:customStyle="1" w:styleId="374">
    <w:name w:val="Char Char82"/>
    <w:qFormat/>
    <w:uiPriority w:val="0"/>
    <w:rPr>
      <w:rFonts w:eastAsia="宋体"/>
      <w:b/>
      <w:sz w:val="24"/>
      <w:lang w:val="en-GB" w:eastAsia="zh-CN"/>
    </w:rPr>
  </w:style>
  <w:style w:type="character" w:customStyle="1" w:styleId="375">
    <w:name w:val="正文文本缩进 3 Char"/>
    <w:link w:val="53"/>
    <w:qFormat/>
    <w:uiPriority w:val="0"/>
    <w:rPr>
      <w:kern w:val="2"/>
      <w:sz w:val="24"/>
    </w:rPr>
  </w:style>
  <w:style w:type="character" w:customStyle="1" w:styleId="376">
    <w:name w:val="日期 Char1"/>
    <w:semiHidden/>
    <w:qFormat/>
    <w:uiPriority w:val="99"/>
    <w:rPr>
      <w:rFonts w:ascii="Times New Roman" w:hAnsi="Times New Roman" w:eastAsia="宋体" w:cs="Times New Roman"/>
      <w:szCs w:val="24"/>
    </w:rPr>
  </w:style>
  <w:style w:type="character" w:customStyle="1" w:styleId="377">
    <w:name w:val="页眉 字符"/>
    <w:qFormat/>
    <w:uiPriority w:val="99"/>
    <w:rPr>
      <w:kern w:val="2"/>
      <w:sz w:val="18"/>
      <w:szCs w:val="18"/>
    </w:rPr>
  </w:style>
  <w:style w:type="character" w:customStyle="1" w:styleId="378">
    <w:name w:val="Char Char33"/>
    <w:qFormat/>
    <w:uiPriority w:val="6"/>
    <w:rPr>
      <w:rFonts w:ascii="Arial" w:hAnsi="Arial" w:eastAsia="黑体"/>
      <w:b/>
      <w:kern w:val="1"/>
      <w:sz w:val="24"/>
      <w:szCs w:val="24"/>
    </w:rPr>
  </w:style>
  <w:style w:type="character" w:customStyle="1" w:styleId="379">
    <w:name w:val="b11_01b Char"/>
    <w:link w:val="380"/>
    <w:qFormat/>
    <w:uiPriority w:val="0"/>
    <w:rPr>
      <w:rFonts w:ascii="Verdana" w:hAnsi="Verdana"/>
      <w:b/>
      <w:bCs/>
      <w:color w:val="4A82CA"/>
      <w:sz w:val="17"/>
      <w:szCs w:val="17"/>
    </w:rPr>
  </w:style>
  <w:style w:type="paragraph" w:customStyle="1" w:styleId="380">
    <w:name w:val="b11_01b"/>
    <w:basedOn w:val="1"/>
    <w:next w:val="1"/>
    <w:link w:val="379"/>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1">
    <w:name w:val="Char Char121"/>
    <w:qFormat/>
    <w:uiPriority w:val="6"/>
    <w:rPr>
      <w:rFonts w:ascii="仿宋_GB2312" w:eastAsia="仿宋_GB2312"/>
      <w:b/>
      <w:bCs/>
      <w:kern w:val="2"/>
      <w:sz w:val="24"/>
      <w:szCs w:val="24"/>
      <w:lang w:val="zh-CN" w:eastAsia="zh-CN" w:bidi="ar-SA"/>
    </w:rPr>
  </w:style>
  <w:style w:type="character" w:customStyle="1" w:styleId="382">
    <w:name w:val="Footer-Even Char"/>
    <w:qFormat/>
    <w:uiPriority w:val="0"/>
    <w:rPr>
      <w:rFonts w:eastAsia="宋体"/>
      <w:kern w:val="2"/>
      <w:sz w:val="18"/>
      <w:lang w:val="en-US" w:eastAsia="zh-CN" w:bidi="ar-SA"/>
    </w:rPr>
  </w:style>
  <w:style w:type="character" w:customStyle="1" w:styleId="383">
    <w:name w:val="页脚 Char2"/>
    <w:link w:val="41"/>
    <w:qFormat/>
    <w:locked/>
    <w:uiPriority w:val="99"/>
    <w:rPr>
      <w:kern w:val="2"/>
      <w:sz w:val="18"/>
      <w:szCs w:val="18"/>
    </w:rPr>
  </w:style>
  <w:style w:type="character" w:customStyle="1" w:styleId="384">
    <w:name w:val="Char Char36"/>
    <w:qFormat/>
    <w:uiPriority w:val="6"/>
    <w:rPr>
      <w:rFonts w:ascii="仿宋_GB2312" w:hAnsi="仿宋_GB2312" w:eastAsia="仿宋_GB2312" w:cs="Arial"/>
      <w:b/>
      <w:kern w:val="1"/>
      <w:sz w:val="32"/>
      <w:szCs w:val="32"/>
      <w:lang w:val="zh-CN" w:eastAsia="zh-CN" w:bidi="ar-SA"/>
    </w:rPr>
  </w:style>
  <w:style w:type="character" w:customStyle="1" w:styleId="385">
    <w:name w:val="Char Char61"/>
    <w:qFormat/>
    <w:uiPriority w:val="6"/>
    <w:rPr>
      <w:rFonts w:eastAsia="宋体"/>
      <w:kern w:val="2"/>
      <w:sz w:val="21"/>
      <w:szCs w:val="24"/>
      <w:lang w:val="en-US" w:eastAsia="zh-CN" w:bidi="ar-SA"/>
    </w:rPr>
  </w:style>
  <w:style w:type="character" w:customStyle="1" w:styleId="386">
    <w:name w:val="正文文字缩进 2 Char Char"/>
    <w:qFormat/>
    <w:uiPriority w:val="0"/>
    <w:rPr>
      <w:rFonts w:ascii="宋体"/>
      <w:sz w:val="28"/>
    </w:rPr>
  </w:style>
  <w:style w:type="character" w:customStyle="1" w:styleId="387">
    <w:name w:val="f141"/>
    <w:qFormat/>
    <w:uiPriority w:val="0"/>
    <w:rPr>
      <w:rFonts w:ascii="Tahoma" w:hAnsi="Tahoma" w:eastAsia="宋体"/>
      <w:b/>
      <w:kern w:val="2"/>
      <w:sz w:val="21"/>
      <w:szCs w:val="21"/>
      <w:lang w:val="en-US" w:eastAsia="zh-CN" w:bidi="ar-SA"/>
    </w:rPr>
  </w:style>
  <w:style w:type="character" w:customStyle="1" w:styleId="388">
    <w:name w:val="段落 Char Char"/>
    <w:link w:val="389"/>
    <w:qFormat/>
    <w:uiPriority w:val="0"/>
    <w:rPr>
      <w:rFonts w:ascii="宋体" w:hAnsi="宋体"/>
      <w:sz w:val="24"/>
    </w:rPr>
  </w:style>
  <w:style w:type="paragraph" w:customStyle="1" w:styleId="389">
    <w:name w:val="段落"/>
    <w:basedOn w:val="1"/>
    <w:link w:val="388"/>
    <w:qFormat/>
    <w:uiPriority w:val="0"/>
    <w:pPr>
      <w:adjustRightInd/>
      <w:spacing w:line="360" w:lineRule="auto"/>
      <w:ind w:firstLine="480" w:firstLineChars="200"/>
    </w:pPr>
    <w:rPr>
      <w:rFonts w:ascii="宋体" w:hAnsi="宋体"/>
      <w:kern w:val="0"/>
      <w:sz w:val="24"/>
      <w:szCs w:val="20"/>
    </w:rPr>
  </w:style>
  <w:style w:type="character" w:customStyle="1" w:styleId="390">
    <w:name w:val="标题 3 Char2"/>
    <w:qFormat/>
    <w:uiPriority w:val="0"/>
    <w:rPr>
      <w:rFonts w:eastAsia="宋体"/>
      <w:b/>
      <w:bCs/>
      <w:kern w:val="2"/>
      <w:sz w:val="32"/>
      <w:szCs w:val="32"/>
      <w:lang w:val="en-US" w:eastAsia="zh-CN" w:bidi="ar-SA"/>
    </w:rPr>
  </w:style>
  <w:style w:type="character" w:customStyle="1" w:styleId="391">
    <w:name w:val="apple-converted-space"/>
    <w:qFormat/>
    <w:uiPriority w:val="0"/>
  </w:style>
  <w:style w:type="character" w:customStyle="1" w:styleId="392">
    <w:name w:val="页眉 Char2"/>
    <w:link w:val="42"/>
    <w:qFormat/>
    <w:uiPriority w:val="99"/>
    <w:rPr>
      <w:kern w:val="2"/>
      <w:sz w:val="18"/>
      <w:szCs w:val="18"/>
    </w:rPr>
  </w:style>
  <w:style w:type="character" w:customStyle="1" w:styleId="393">
    <w:name w:val="Char Char9"/>
    <w:qFormat/>
    <w:uiPriority w:val="0"/>
    <w:rPr>
      <w:rFonts w:eastAsia="宋体"/>
      <w:kern w:val="2"/>
      <w:sz w:val="18"/>
      <w:szCs w:val="18"/>
      <w:lang w:val="en-US" w:eastAsia="zh-CN" w:bidi="ar-SA"/>
    </w:rPr>
  </w:style>
  <w:style w:type="character" w:customStyle="1" w:styleId="394">
    <w:name w:val="Char Char41"/>
    <w:qFormat/>
    <w:uiPriority w:val="0"/>
    <w:rPr>
      <w:rFonts w:eastAsia="宋体"/>
      <w:b/>
      <w:sz w:val="24"/>
      <w:lang w:val="en-GB" w:eastAsia="zh-CN" w:bidi="ar-SA"/>
    </w:rPr>
  </w:style>
  <w:style w:type="character" w:customStyle="1" w:styleId="395">
    <w:name w:val="large1"/>
    <w:qFormat/>
    <w:uiPriority w:val="0"/>
    <w:rPr>
      <w:rFonts w:hint="eastAsia" w:ascii="宋体" w:hAnsi="宋体" w:eastAsia="宋体"/>
      <w:sz w:val="21"/>
      <w:szCs w:val="21"/>
    </w:rPr>
  </w:style>
  <w:style w:type="character" w:customStyle="1" w:styleId="396">
    <w:name w:val="正文段 Char"/>
    <w:link w:val="397"/>
    <w:qFormat/>
    <w:uiPriority w:val="0"/>
    <w:rPr>
      <w:sz w:val="24"/>
    </w:rPr>
  </w:style>
  <w:style w:type="paragraph" w:customStyle="1" w:styleId="397">
    <w:name w:val="正文段"/>
    <w:basedOn w:val="1"/>
    <w:link w:val="396"/>
    <w:qFormat/>
    <w:uiPriority w:val="0"/>
    <w:pPr>
      <w:widowControl/>
      <w:snapToGrid w:val="0"/>
      <w:spacing w:after="156" w:afterLines="50"/>
      <w:ind w:firstLine="200" w:firstLineChars="200"/>
    </w:pPr>
    <w:rPr>
      <w:kern w:val="0"/>
      <w:sz w:val="24"/>
      <w:szCs w:val="20"/>
    </w:rPr>
  </w:style>
  <w:style w:type="character" w:customStyle="1" w:styleId="398">
    <w:name w:val="Char Char13"/>
    <w:qFormat/>
    <w:uiPriority w:val="6"/>
    <w:rPr>
      <w:rFonts w:ascii="宋体" w:hAnsi="宋体"/>
      <w:kern w:val="1"/>
      <w:sz w:val="21"/>
      <w:szCs w:val="24"/>
    </w:rPr>
  </w:style>
  <w:style w:type="character" w:customStyle="1" w:styleId="399">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400">
    <w:name w:val="冯广丽 Char"/>
    <w:link w:val="401"/>
    <w:qFormat/>
    <w:uiPriority w:val="0"/>
    <w:rPr>
      <w:rFonts w:ascii="宋体" w:hAnsi="宋体"/>
      <w:kern w:val="2"/>
      <w:sz w:val="24"/>
      <w:szCs w:val="22"/>
    </w:rPr>
  </w:style>
  <w:style w:type="paragraph" w:customStyle="1" w:styleId="401">
    <w:name w:val="冯广丽"/>
    <w:basedOn w:val="1"/>
    <w:link w:val="400"/>
    <w:qFormat/>
    <w:uiPriority w:val="0"/>
    <w:pPr>
      <w:adjustRightInd/>
      <w:spacing w:line="360" w:lineRule="auto"/>
      <w:ind w:firstLine="480" w:firstLineChars="200"/>
    </w:pPr>
    <w:rPr>
      <w:rFonts w:ascii="宋体" w:hAnsi="宋体"/>
      <w:sz w:val="24"/>
      <w:szCs w:val="22"/>
    </w:rPr>
  </w:style>
  <w:style w:type="character" w:customStyle="1" w:styleId="402">
    <w:name w:val="批注文字 字符"/>
    <w:qFormat/>
    <w:uiPriority w:val="0"/>
    <w:rPr>
      <w:rFonts w:ascii="Arial" w:hAnsi="Arial" w:eastAsia="黑体" w:cs="Arial"/>
      <w:snapToGrid w:val="0"/>
      <w:kern w:val="0"/>
      <w:szCs w:val="21"/>
    </w:rPr>
  </w:style>
  <w:style w:type="character" w:customStyle="1" w:styleId="403">
    <w:name w:val="Char Char161"/>
    <w:qFormat/>
    <w:uiPriority w:val="0"/>
    <w:rPr>
      <w:rFonts w:eastAsia="宋体"/>
      <w:b/>
      <w:kern w:val="2"/>
      <w:sz w:val="32"/>
      <w:lang w:val="en-US" w:eastAsia="zh-CN"/>
    </w:rPr>
  </w:style>
  <w:style w:type="character" w:customStyle="1" w:styleId="404">
    <w:name w:val="javascript"/>
    <w:qFormat/>
    <w:uiPriority w:val="0"/>
  </w:style>
  <w:style w:type="character" w:customStyle="1" w:styleId="405">
    <w:name w:val="图名 Char"/>
    <w:qFormat/>
    <w:uiPriority w:val="0"/>
    <w:rPr>
      <w:rFonts w:ascii="Arial" w:hAnsi="Arial" w:eastAsia="黑体"/>
      <w:kern w:val="2"/>
      <w:sz w:val="24"/>
      <w:szCs w:val="24"/>
      <w:lang w:val="en-US" w:eastAsia="zh-CN" w:bidi="ar-SA"/>
    </w:rPr>
  </w:style>
  <w:style w:type="character" w:customStyle="1" w:styleId="406">
    <w:name w:val="Used by Word for text of Help footnotes Char Char"/>
    <w:qFormat/>
    <w:uiPriority w:val="0"/>
    <w:rPr>
      <w:rFonts w:ascii="Times New Roman" w:hAnsi="Times New Roman" w:eastAsia="宋体" w:cs="Times New Roman"/>
      <w:sz w:val="20"/>
      <w:szCs w:val="20"/>
    </w:rPr>
  </w:style>
  <w:style w:type="character" w:customStyle="1" w:styleId="407">
    <w:name w:val="编号，小四 Char"/>
    <w:link w:val="408"/>
    <w:qFormat/>
    <w:uiPriority w:val="0"/>
    <w:rPr>
      <w:rFonts w:ascii="Arial" w:hAnsi="Arial"/>
      <w:sz w:val="24"/>
    </w:rPr>
  </w:style>
  <w:style w:type="paragraph" w:customStyle="1" w:styleId="408">
    <w:name w:val="编号，小四"/>
    <w:basedOn w:val="1"/>
    <w:link w:val="407"/>
    <w:qFormat/>
    <w:uiPriority w:val="0"/>
    <w:pPr>
      <w:tabs>
        <w:tab w:val="left" w:pos="432"/>
      </w:tabs>
      <w:adjustRightInd/>
      <w:spacing w:line="360" w:lineRule="auto"/>
      <w:ind w:left="432" w:hanging="432"/>
    </w:pPr>
    <w:rPr>
      <w:rFonts w:ascii="Arial" w:hAnsi="Arial"/>
      <w:kern w:val="0"/>
      <w:sz w:val="24"/>
      <w:szCs w:val="20"/>
    </w:rPr>
  </w:style>
  <w:style w:type="character" w:customStyle="1" w:styleId="409">
    <w:name w:val="Font Style82"/>
    <w:qFormat/>
    <w:uiPriority w:val="99"/>
    <w:rPr>
      <w:rFonts w:ascii="宋体" w:eastAsia="宋体" w:cs="宋体"/>
      <w:color w:val="000000"/>
      <w:sz w:val="14"/>
      <w:szCs w:val="14"/>
    </w:rPr>
  </w:style>
  <w:style w:type="character" w:customStyle="1" w:styleId="410">
    <w:name w:val="标题 2 Char Char"/>
    <w:qFormat/>
    <w:uiPriority w:val="0"/>
    <w:rPr>
      <w:rFonts w:ascii="楷体_GB2312" w:hAnsi="Arial" w:eastAsia="楷体_GB2312"/>
      <w:b/>
      <w:bCs/>
      <w:kern w:val="2"/>
      <w:sz w:val="24"/>
      <w:szCs w:val="32"/>
      <w:lang w:val="en-US" w:eastAsia="zh-CN" w:bidi="ar-SA"/>
    </w:rPr>
  </w:style>
  <w:style w:type="character" w:customStyle="1" w:styleId="411">
    <w:name w:val="未用 Char"/>
    <w:qFormat/>
    <w:uiPriority w:val="0"/>
    <w:rPr>
      <w:rFonts w:ascii="Arial" w:hAnsi="Arial" w:eastAsia="黑体"/>
      <w:kern w:val="2"/>
      <w:sz w:val="21"/>
      <w:szCs w:val="21"/>
      <w:lang w:val="en-US" w:eastAsia="zh-CN" w:bidi="ar-SA"/>
    </w:rPr>
  </w:style>
  <w:style w:type="character" w:customStyle="1" w:styleId="412">
    <w:name w:val="myp1111"/>
    <w:qFormat/>
    <w:uiPriority w:val="0"/>
    <w:rPr>
      <w:rFonts w:hint="default" w:ascii="ˎ̥" w:hAnsi="ˎ̥"/>
      <w:color w:val="000000"/>
      <w:sz w:val="20"/>
      <w:szCs w:val="20"/>
      <w:u w:val="none"/>
    </w:rPr>
  </w:style>
  <w:style w:type="character" w:customStyle="1" w:styleId="413">
    <w:name w:val="样式 标题 4h4H4Fab-4T5Ref Heading 1rh1Heading sqlsect 1.2.3.... Char"/>
    <w:link w:val="305"/>
    <w:qFormat/>
    <w:uiPriority w:val="0"/>
    <w:rPr>
      <w:rFonts w:ascii="微软雅黑" w:hAnsi="微软雅黑" w:eastAsia="微软雅黑"/>
      <w:b/>
      <w:bCs/>
      <w:kern w:val="2"/>
      <w:sz w:val="24"/>
      <w:szCs w:val="28"/>
    </w:rPr>
  </w:style>
  <w:style w:type="character" w:customStyle="1" w:styleId="414">
    <w:name w:val="h Char Char"/>
    <w:qFormat/>
    <w:uiPriority w:val="0"/>
    <w:rPr>
      <w:rFonts w:eastAsia="宋体"/>
      <w:kern w:val="2"/>
      <w:sz w:val="18"/>
      <w:lang w:val="en-US" w:eastAsia="zh-CN" w:bidi="ar-SA"/>
    </w:rPr>
  </w:style>
  <w:style w:type="character" w:customStyle="1" w:styleId="415">
    <w:name w:val="仿宋正文 Char"/>
    <w:link w:val="416"/>
    <w:qFormat/>
    <w:uiPriority w:val="0"/>
    <w:rPr>
      <w:rFonts w:ascii="仿宋_GB2312" w:eastAsia="仿宋_GB2312"/>
      <w:kern w:val="2"/>
      <w:sz w:val="24"/>
      <w:lang w:val="en-US" w:eastAsia="zh-CN" w:bidi="ar-SA"/>
    </w:rPr>
  </w:style>
  <w:style w:type="paragraph" w:customStyle="1" w:styleId="416">
    <w:name w:val="仿宋正文"/>
    <w:basedOn w:val="1"/>
    <w:link w:val="415"/>
    <w:qFormat/>
    <w:uiPriority w:val="0"/>
    <w:pPr>
      <w:adjustRightInd/>
      <w:spacing w:line="360" w:lineRule="auto"/>
      <w:ind w:firstLine="480" w:firstLineChars="200"/>
    </w:pPr>
    <w:rPr>
      <w:rFonts w:ascii="仿宋_GB2312" w:eastAsia="仿宋_GB2312"/>
      <w:sz w:val="24"/>
      <w:szCs w:val="20"/>
    </w:rPr>
  </w:style>
  <w:style w:type="character" w:customStyle="1" w:styleId="417">
    <w:name w:val="正文首行缩进 Char Char Char Char Char Char"/>
    <w:qFormat/>
    <w:uiPriority w:val="0"/>
    <w:rPr>
      <w:rFonts w:ascii="宋体" w:eastAsia="宋体"/>
      <w:kern w:val="2"/>
      <w:sz w:val="24"/>
      <w:lang w:val="zh-CN" w:bidi="ar-SA"/>
    </w:rPr>
  </w:style>
  <w:style w:type="character" w:customStyle="1" w:styleId="418">
    <w:name w:val="样式 宋体"/>
    <w:qFormat/>
    <w:uiPriority w:val="0"/>
    <w:rPr>
      <w:rFonts w:ascii="宋体" w:hAnsi="宋体"/>
      <w:sz w:val="24"/>
    </w:rPr>
  </w:style>
  <w:style w:type="character" w:customStyle="1" w:styleId="419">
    <w:name w:val="tw4winJump"/>
    <w:qFormat/>
    <w:uiPriority w:val="0"/>
    <w:rPr>
      <w:rFonts w:ascii="Courier New" w:hAnsi="Courier New" w:cs="Courier New"/>
      <w:color w:val="008080"/>
      <w:lang w:val="en-US" w:eastAsia="zh-CN"/>
    </w:rPr>
  </w:style>
  <w:style w:type="character" w:customStyle="1" w:styleId="420">
    <w:name w:val="标题 1 字符"/>
    <w:qFormat/>
    <w:uiPriority w:val="9"/>
    <w:rPr>
      <w:rFonts w:ascii="Arial" w:hAnsi="Arial" w:eastAsia="黑体" w:cs="Arial"/>
      <w:b/>
      <w:bCs/>
      <w:snapToGrid w:val="0"/>
      <w:kern w:val="44"/>
      <w:sz w:val="44"/>
      <w:szCs w:val="44"/>
    </w:rPr>
  </w:style>
  <w:style w:type="character" w:customStyle="1" w:styleId="421">
    <w:name w:val="style36"/>
    <w:basedOn w:val="70"/>
    <w:qFormat/>
    <w:uiPriority w:val="0"/>
    <w:rPr>
      <w:rFonts w:ascii="Arial" w:hAnsi="Arial" w:eastAsia="黑体" w:cs="Arial"/>
      <w:snapToGrid w:val="0"/>
      <w:kern w:val="0"/>
      <w:szCs w:val="21"/>
    </w:rPr>
  </w:style>
  <w:style w:type="character" w:customStyle="1" w:styleId="422">
    <w:name w:val="pt9"/>
    <w:qFormat/>
    <w:uiPriority w:val="0"/>
    <w:rPr>
      <w:rFonts w:ascii="仿宋_GB2312" w:eastAsia="微软雅黑"/>
      <w:b/>
      <w:kern w:val="2"/>
      <w:sz w:val="32"/>
      <w:szCs w:val="32"/>
      <w:lang w:val="en-US" w:eastAsia="zh-CN" w:bidi="ar-SA"/>
    </w:rPr>
  </w:style>
  <w:style w:type="character" w:customStyle="1" w:styleId="423">
    <w:name w:val="DO_NOT_TRANSLATE"/>
    <w:qFormat/>
    <w:uiPriority w:val="0"/>
    <w:rPr>
      <w:rFonts w:ascii="Courier New" w:hAnsi="Courier New" w:cs="Courier New"/>
      <w:color w:val="800000"/>
      <w:lang w:val="en-US" w:eastAsia="zh-CN"/>
    </w:rPr>
  </w:style>
  <w:style w:type="character" w:customStyle="1" w:styleId="424">
    <w:name w:val="标书1 Char1"/>
    <w:qFormat/>
    <w:uiPriority w:val="0"/>
    <w:rPr>
      <w:rFonts w:eastAsia="宋体"/>
      <w:b/>
      <w:bCs/>
      <w:kern w:val="44"/>
      <w:sz w:val="44"/>
      <w:szCs w:val="44"/>
      <w:lang w:val="en-US" w:eastAsia="zh-CN" w:bidi="ar-SA"/>
    </w:rPr>
  </w:style>
  <w:style w:type="character" w:customStyle="1" w:styleId="425">
    <w:name w:val="页脚 字符"/>
    <w:qFormat/>
    <w:uiPriority w:val="99"/>
    <w:rPr>
      <w:kern w:val="2"/>
      <w:sz w:val="18"/>
      <w:szCs w:val="18"/>
    </w:rPr>
  </w:style>
  <w:style w:type="character" w:customStyle="1" w:styleId="426">
    <w:name w:val="正文2 Char"/>
    <w:qFormat/>
    <w:uiPriority w:val="0"/>
    <w:rPr>
      <w:rFonts w:eastAsia="宋体"/>
      <w:kern w:val="2"/>
      <w:sz w:val="24"/>
      <w:lang w:val="en-US" w:eastAsia="zh-CN" w:bidi="ar-SA"/>
    </w:rPr>
  </w:style>
  <w:style w:type="character" w:customStyle="1" w:styleId="427">
    <w:name w:val="Char Char21"/>
    <w:qFormat/>
    <w:uiPriority w:val="6"/>
    <w:rPr>
      <w:rFonts w:ascii="宋体" w:hAnsi="宋体"/>
      <w:kern w:val="1"/>
      <w:sz w:val="24"/>
      <w:szCs w:val="21"/>
      <w:lang w:val="zh-CN"/>
    </w:rPr>
  </w:style>
  <w:style w:type="character" w:customStyle="1" w:styleId="428">
    <w:name w:val="样式 正文缩进 + 首行缩进:  2 字符 Char Char"/>
    <w:link w:val="429"/>
    <w:qFormat/>
    <w:uiPriority w:val="0"/>
    <w:rPr>
      <w:rFonts w:cs="宋体"/>
      <w:kern w:val="2"/>
      <w:sz w:val="24"/>
    </w:rPr>
  </w:style>
  <w:style w:type="paragraph" w:customStyle="1" w:styleId="429">
    <w:name w:val="样式 正文缩进 + 首行缩进:  2 字符"/>
    <w:basedOn w:val="5"/>
    <w:link w:val="428"/>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0">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431">
    <w:name w:val="gray6"/>
    <w:basedOn w:val="70"/>
    <w:qFormat/>
    <w:uiPriority w:val="0"/>
    <w:rPr>
      <w:rFonts w:ascii="Arial" w:hAnsi="Arial" w:eastAsia="黑体" w:cs="Arial"/>
      <w:snapToGrid w:val="0"/>
      <w:kern w:val="0"/>
      <w:szCs w:val="21"/>
    </w:rPr>
  </w:style>
  <w:style w:type="character" w:customStyle="1" w:styleId="432">
    <w:name w:val="hui"/>
    <w:basedOn w:val="70"/>
    <w:qFormat/>
    <w:uiPriority w:val="0"/>
    <w:rPr>
      <w:rFonts w:ascii="Arial" w:hAnsi="Arial" w:eastAsia="黑体" w:cs="Arial"/>
      <w:snapToGrid w:val="0"/>
      <w:kern w:val="0"/>
      <w:szCs w:val="21"/>
    </w:rPr>
  </w:style>
  <w:style w:type="character" w:customStyle="1" w:styleId="433">
    <w:name w:val="哈哈正文 Char Char"/>
    <w:qFormat/>
    <w:uiPriority w:val="0"/>
    <w:rPr>
      <w:rFonts w:ascii="宋体" w:hAnsi="宋体" w:eastAsia="宋体" w:cs="宋体"/>
      <w:kern w:val="2"/>
      <w:sz w:val="24"/>
      <w:lang w:val="en-US" w:eastAsia="zh-CN" w:bidi="ar-SA"/>
    </w:rPr>
  </w:style>
  <w:style w:type="paragraph" w:customStyle="1" w:styleId="434">
    <w:name w:val="样式 正文文本缩进 + 左侧:  2 字符 首行缩进:  2 字符"/>
    <w:basedOn w:val="2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5">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6">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7">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8">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9">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40">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1">
    <w:name w:val="标题4_自定义"/>
    <w:basedOn w:val="6"/>
    <w:qFormat/>
    <w:uiPriority w:val="0"/>
    <w:pPr>
      <w:adjustRightInd/>
      <w:spacing w:before="0" w:after="0" w:line="360" w:lineRule="auto"/>
    </w:pPr>
    <w:rPr>
      <w:rFonts w:ascii="Verdana" w:eastAsia="Verdana"/>
      <w:sz w:val="21"/>
      <w:lang w:val="en-US"/>
    </w:rPr>
  </w:style>
  <w:style w:type="paragraph" w:customStyle="1" w:styleId="442">
    <w:name w:val="正文 内标 序号标"/>
    <w:basedOn w:val="443"/>
    <w:qFormat/>
    <w:uiPriority w:val="0"/>
    <w:pPr>
      <w:tabs>
        <w:tab w:val="left" w:pos="0"/>
      </w:tabs>
      <w:adjustRightInd/>
      <w:spacing w:before="0"/>
      <w:ind w:firstLine="482"/>
    </w:pPr>
    <w:rPr>
      <w:rFonts w:ascii="微软雅黑" w:hAnsi="微软雅黑"/>
      <w:sz w:val="24"/>
      <w:szCs w:val="24"/>
    </w:rPr>
  </w:style>
  <w:style w:type="paragraph" w:customStyle="1" w:styleId="443">
    <w:name w:val="My正文"/>
    <w:basedOn w:val="1"/>
    <w:qFormat/>
    <w:uiPriority w:val="0"/>
    <w:pPr>
      <w:spacing w:before="120" w:line="360" w:lineRule="auto"/>
      <w:ind w:firstLine="567"/>
    </w:pPr>
    <w:rPr>
      <w:rFonts w:ascii="Arial" w:hAnsi="Arial"/>
      <w:sz w:val="20"/>
      <w:szCs w:val="20"/>
    </w:rPr>
  </w:style>
  <w:style w:type="paragraph" w:customStyle="1" w:styleId="444">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5">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6">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7">
    <w:name w:val="修订2"/>
    <w:qFormat/>
    <w:uiPriority w:val="0"/>
    <w:rPr>
      <w:rFonts w:ascii="Times New Roman" w:hAnsi="Times New Roman" w:eastAsia="宋体" w:cs="Times New Roman"/>
      <w:kern w:val="2"/>
      <w:sz w:val="21"/>
      <w:lang w:val="en-US" w:eastAsia="zh-CN" w:bidi="ar-SA"/>
    </w:rPr>
  </w:style>
  <w:style w:type="paragraph" w:customStyle="1" w:styleId="448">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9">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0">
    <w:name w:val="文章标题"/>
    <w:next w:val="451"/>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1">
    <w:name w:val="封面公司名"/>
    <w:qFormat/>
    <w:uiPriority w:val="0"/>
    <w:pPr>
      <w:jc w:val="center"/>
    </w:pPr>
    <w:rPr>
      <w:rFonts w:ascii="Arial" w:hAnsi="Arial" w:eastAsia="楷体_GB2312" w:cs="宋体"/>
      <w:bCs/>
      <w:kern w:val="2"/>
      <w:sz w:val="28"/>
      <w:lang w:val="en-US" w:eastAsia="zh-CN" w:bidi="ar-SA"/>
    </w:rPr>
  </w:style>
  <w:style w:type="paragraph" w:customStyle="1" w:styleId="452">
    <w:name w:val="Char1 Char Char Char5"/>
    <w:basedOn w:val="1"/>
    <w:qFormat/>
    <w:uiPriority w:val="0"/>
    <w:pPr>
      <w:adjustRightInd/>
      <w:ind w:firstLine="200" w:firstLineChars="200"/>
    </w:pPr>
    <w:rPr>
      <w:rFonts w:ascii="Tahoma" w:hAnsi="Tahoma"/>
      <w:sz w:val="24"/>
      <w:szCs w:val="20"/>
    </w:rPr>
  </w:style>
  <w:style w:type="paragraph" w:customStyle="1" w:styleId="453">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4">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5">
    <w:name w:val="Char Char Char Char Char Char Char Char"/>
    <w:basedOn w:val="1"/>
    <w:qFormat/>
    <w:uiPriority w:val="0"/>
    <w:pPr>
      <w:tabs>
        <w:tab w:val="left" w:pos="360"/>
      </w:tabs>
    </w:pPr>
    <w:rPr>
      <w:sz w:val="24"/>
      <w:szCs w:val="20"/>
    </w:rPr>
  </w:style>
  <w:style w:type="paragraph" w:customStyle="1" w:styleId="456">
    <w:name w:val="Char Char11 Char Char Char"/>
    <w:basedOn w:val="1"/>
    <w:qFormat/>
    <w:uiPriority w:val="0"/>
    <w:pPr>
      <w:spacing w:line="360" w:lineRule="auto"/>
    </w:pPr>
    <w:rPr>
      <w:szCs w:val="20"/>
    </w:rPr>
  </w:style>
  <w:style w:type="paragraph" w:customStyle="1" w:styleId="457">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8">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9">
    <w:name w:val="样式3"/>
    <w:basedOn w:val="460"/>
    <w:qFormat/>
    <w:uiPriority w:val="0"/>
    <w:pPr>
      <w:tabs>
        <w:tab w:val="left" w:pos="2790"/>
        <w:tab w:val="left" w:pos="4230"/>
      </w:tabs>
      <w:spacing w:before="312" w:beforeLines="100"/>
      <w:jc w:val="left"/>
    </w:pPr>
  </w:style>
  <w:style w:type="paragraph" w:customStyle="1" w:styleId="460">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1">
    <w:name w:val="Char Char1 Char Char1 Char Char1"/>
    <w:basedOn w:val="1"/>
    <w:qFormat/>
    <w:uiPriority w:val="0"/>
    <w:pPr>
      <w:tabs>
        <w:tab w:val="left" w:pos="840"/>
      </w:tabs>
      <w:ind w:left="840" w:hanging="420"/>
    </w:pPr>
    <w:rPr>
      <w:rFonts w:ascii="Tahoma" w:hAnsi="Tahoma"/>
      <w:sz w:val="24"/>
    </w:rPr>
  </w:style>
  <w:style w:type="paragraph" w:customStyle="1" w:styleId="462">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3">
    <w:name w:val="标书标题2"/>
    <w:basedOn w:val="3"/>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4">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5">
    <w:name w:val="正文21"/>
    <w:basedOn w:val="1"/>
    <w:qFormat/>
    <w:uiPriority w:val="0"/>
    <w:pPr>
      <w:adjustRightInd/>
      <w:spacing w:before="156" w:line="360" w:lineRule="auto"/>
      <w:ind w:firstLine="510" w:firstLineChars="200"/>
    </w:pPr>
    <w:rPr>
      <w:sz w:val="24"/>
      <w:szCs w:val="20"/>
    </w:rPr>
  </w:style>
  <w:style w:type="paragraph" w:customStyle="1" w:styleId="466">
    <w:name w:val="Test2"/>
    <w:basedOn w:val="3"/>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7">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8">
    <w:name w:val="Char1"/>
    <w:basedOn w:val="1"/>
    <w:qFormat/>
    <w:uiPriority w:val="0"/>
    <w:rPr>
      <w:rFonts w:ascii="仿宋_GB2312" w:eastAsia="仿宋_GB2312"/>
      <w:b/>
      <w:sz w:val="32"/>
      <w:szCs w:val="32"/>
    </w:rPr>
  </w:style>
  <w:style w:type="paragraph" w:customStyle="1" w:styleId="469">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0">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1">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2">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3">
    <w:name w:val="6级标题"/>
    <w:basedOn w:val="474"/>
    <w:qFormat/>
    <w:uiPriority w:val="0"/>
    <w:pPr>
      <w:keepNext/>
      <w:tabs>
        <w:tab w:val="left" w:pos="360"/>
      </w:tabs>
      <w:spacing w:before="0" w:after="0"/>
      <w:outlineLvl w:val="5"/>
    </w:pPr>
  </w:style>
  <w:style w:type="paragraph" w:customStyle="1" w:styleId="474">
    <w:name w:val="5级标题"/>
    <w:basedOn w:val="475"/>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5">
    <w:name w:val="4级标题"/>
    <w:basedOn w:val="258"/>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6">
    <w:name w:val="样式 正文文本缩进 + 段前: 2 字符"/>
    <w:basedOn w:val="1"/>
    <w:qFormat/>
    <w:uiPriority w:val="0"/>
    <w:pPr>
      <w:adjustRightInd/>
      <w:ind w:left="420" w:leftChars="200"/>
      <w:jc w:val="left"/>
    </w:pPr>
    <w:rPr>
      <w:sz w:val="28"/>
      <w:szCs w:val="20"/>
      <w:lang w:eastAsia="zh-TW"/>
    </w:rPr>
  </w:style>
  <w:style w:type="paragraph" w:customStyle="1" w:styleId="477">
    <w:name w:val="Char2 Char Char"/>
    <w:basedOn w:val="1"/>
    <w:qFormat/>
    <w:uiPriority w:val="0"/>
    <w:pPr>
      <w:adjustRightInd/>
    </w:pPr>
    <w:rPr>
      <w:rFonts w:ascii="Tahoma" w:hAnsi="Tahoma"/>
      <w:sz w:val="24"/>
      <w:szCs w:val="20"/>
    </w:rPr>
  </w:style>
  <w:style w:type="paragraph" w:customStyle="1" w:styleId="478">
    <w:name w:val="_Style 11"/>
    <w:basedOn w:val="1"/>
    <w:qFormat/>
    <w:uiPriority w:val="34"/>
    <w:pPr>
      <w:adjustRightInd/>
      <w:ind w:firstLine="420" w:firstLineChars="200"/>
    </w:pPr>
    <w:rPr>
      <w:rFonts w:eastAsia="仿宋_GB2312"/>
      <w:sz w:val="28"/>
    </w:rPr>
  </w:style>
  <w:style w:type="paragraph" w:customStyle="1" w:styleId="479">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0">
    <w:name w:val="Char Char Char"/>
    <w:basedOn w:val="1"/>
    <w:qFormat/>
    <w:uiPriority w:val="0"/>
    <w:rPr>
      <w:rFonts w:ascii="Tahoma" w:hAnsi="Tahoma"/>
      <w:sz w:val="24"/>
      <w:szCs w:val="20"/>
    </w:rPr>
  </w:style>
  <w:style w:type="paragraph" w:customStyle="1" w:styleId="481">
    <w:name w:val="数字标题6"/>
    <w:basedOn w:val="8"/>
    <w:next w:val="1"/>
    <w:qFormat/>
    <w:uiPriority w:val="0"/>
    <w:pPr>
      <w:tabs>
        <w:tab w:val="left" w:pos="1080"/>
      </w:tabs>
      <w:ind w:left="1080" w:hanging="1080"/>
    </w:pPr>
    <w:rPr>
      <w:rFonts w:ascii="Times New Roman" w:hAnsi="Times New Roman" w:eastAsia="宋体"/>
      <w:i/>
    </w:rPr>
  </w:style>
  <w:style w:type="paragraph" w:customStyle="1" w:styleId="482">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483">
    <w:name w:val="无间隔2"/>
    <w:basedOn w:val="1"/>
    <w:link w:val="933"/>
    <w:qFormat/>
    <w:uiPriority w:val="99"/>
    <w:rPr>
      <w:szCs w:val="22"/>
    </w:rPr>
  </w:style>
  <w:style w:type="paragraph" w:customStyle="1" w:styleId="484">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5">
    <w:name w:val="Char Char Char Char Char Char Char Char Char Char Char Char1 Char1"/>
    <w:basedOn w:val="1"/>
    <w:qFormat/>
    <w:uiPriority w:val="6"/>
    <w:rPr>
      <w:rFonts w:ascii="Tahoma" w:hAnsi="Tahoma" w:cs="仿宋_GB2312"/>
      <w:sz w:val="24"/>
      <w:szCs w:val="20"/>
    </w:rPr>
  </w:style>
  <w:style w:type="paragraph" w:customStyle="1" w:styleId="486">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7">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8">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9">
    <w:name w:val="MM Topic 2"/>
    <w:basedOn w:val="3"/>
    <w:qFormat/>
    <w:uiPriority w:val="0"/>
    <w:pPr>
      <w:tabs>
        <w:tab w:val="left" w:pos="1260"/>
      </w:tabs>
      <w:ind w:left="1260" w:hanging="420"/>
    </w:pPr>
    <w:rPr>
      <w:rFonts w:ascii="Arial" w:hAnsi="Arial" w:eastAsia="黑体"/>
      <w:lang w:val="en-US"/>
    </w:rPr>
  </w:style>
  <w:style w:type="paragraph" w:customStyle="1" w:styleId="490">
    <w:name w:val="五级无标题条"/>
    <w:basedOn w:val="1"/>
    <w:qFormat/>
    <w:uiPriority w:val="0"/>
    <w:pPr>
      <w:adjustRightInd/>
    </w:pPr>
  </w:style>
  <w:style w:type="paragraph" w:customStyle="1" w:styleId="491">
    <w:name w:val="Char5"/>
    <w:basedOn w:val="1"/>
    <w:qFormat/>
    <w:uiPriority w:val="0"/>
    <w:rPr>
      <w:rFonts w:ascii="仿宋_GB2312" w:eastAsia="仿宋_GB2312"/>
      <w:b/>
      <w:sz w:val="32"/>
      <w:szCs w:val="32"/>
    </w:rPr>
  </w:style>
  <w:style w:type="paragraph" w:customStyle="1" w:styleId="492">
    <w:name w:val="TOC 标题1"/>
    <w:basedOn w:val="2"/>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3">
    <w:name w:val="彩色列表 - 强调文字颜色 12"/>
    <w:basedOn w:val="1"/>
    <w:qFormat/>
    <w:uiPriority w:val="0"/>
    <w:pPr>
      <w:adjustRightInd/>
      <w:ind w:firstLine="420" w:firstLineChars="200"/>
    </w:pPr>
    <w:rPr>
      <w:rFonts w:ascii="Calibri" w:hAnsi="Calibri"/>
      <w:szCs w:val="22"/>
    </w:rPr>
  </w:style>
  <w:style w:type="paragraph" w:customStyle="1" w:styleId="494">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5">
    <w:name w:val="Char2"/>
    <w:basedOn w:val="1"/>
    <w:qFormat/>
    <w:uiPriority w:val="0"/>
    <w:rPr>
      <w:rFonts w:ascii="仿宋_GB2312" w:eastAsia="仿宋_GB2312"/>
      <w:b/>
      <w:sz w:val="32"/>
      <w:szCs w:val="32"/>
    </w:rPr>
  </w:style>
  <w:style w:type="paragraph" w:customStyle="1" w:styleId="496">
    <w:name w:val="数字标题3"/>
    <w:basedOn w:val="4"/>
    <w:next w:val="1"/>
    <w:qFormat/>
    <w:uiPriority w:val="0"/>
    <w:pPr>
      <w:spacing w:line="240" w:lineRule="auto"/>
    </w:pPr>
    <w:rPr>
      <w:sz w:val="28"/>
      <w:szCs w:val="28"/>
    </w:rPr>
  </w:style>
  <w:style w:type="paragraph" w:customStyle="1" w:styleId="497">
    <w:name w:val="FA正文"/>
    <w:basedOn w:val="1"/>
    <w:qFormat/>
    <w:uiPriority w:val="0"/>
    <w:pPr>
      <w:spacing w:line="360" w:lineRule="auto"/>
      <w:ind w:firstLine="480" w:firstLineChars="200"/>
    </w:pPr>
    <w:rPr>
      <w:rFonts w:hAnsi="宋体"/>
      <w:sz w:val="24"/>
      <w:szCs w:val="20"/>
    </w:rPr>
  </w:style>
  <w:style w:type="paragraph" w:customStyle="1" w:styleId="498">
    <w:name w:val="MM Topic 5"/>
    <w:basedOn w:val="7"/>
    <w:qFormat/>
    <w:uiPriority w:val="0"/>
    <w:pPr>
      <w:tabs>
        <w:tab w:val="left" w:pos="2520"/>
      </w:tabs>
      <w:adjustRightInd/>
      <w:ind w:left="2520" w:hanging="420"/>
    </w:pPr>
  </w:style>
  <w:style w:type="paragraph" w:customStyle="1" w:styleId="499">
    <w:name w:val="Char Char Char Char Char Char Char Char Char Char1"/>
    <w:basedOn w:val="1"/>
    <w:qFormat/>
    <w:uiPriority w:val="0"/>
    <w:rPr>
      <w:rFonts w:ascii="仿宋_GB2312" w:eastAsia="仿宋_GB2312"/>
      <w:b/>
      <w:sz w:val="32"/>
      <w:szCs w:val="32"/>
    </w:rPr>
  </w:style>
  <w:style w:type="paragraph" w:customStyle="1" w:styleId="500">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1">
    <w:name w:val="修订1"/>
    <w:qFormat/>
    <w:uiPriority w:val="3"/>
    <w:rPr>
      <w:rFonts w:ascii="Times New Roman" w:hAnsi="Times New Roman" w:eastAsia="宋体" w:cs="Times New Roman"/>
      <w:color w:val="000000"/>
      <w:kern w:val="1"/>
      <w:sz w:val="21"/>
      <w:lang w:val="en-US" w:eastAsia="zh-CN" w:bidi="ar-SA"/>
    </w:rPr>
  </w:style>
  <w:style w:type="paragraph" w:customStyle="1" w:styleId="502">
    <w:name w:val="Char2 Char Char Char"/>
    <w:basedOn w:val="1"/>
    <w:qFormat/>
    <w:uiPriority w:val="0"/>
    <w:rPr>
      <w:rFonts w:ascii="仿宋_GB2312" w:eastAsia="仿宋_GB2312"/>
      <w:b/>
      <w:sz w:val="32"/>
      <w:szCs w:val="32"/>
    </w:rPr>
  </w:style>
  <w:style w:type="paragraph" w:customStyle="1" w:styleId="503">
    <w:name w:val="Char2 Char Char Char1"/>
    <w:basedOn w:val="1"/>
    <w:qFormat/>
    <w:uiPriority w:val="6"/>
    <w:rPr>
      <w:rFonts w:ascii="仿宋_GB2312" w:eastAsia="仿宋_GB2312"/>
      <w:b/>
      <w:sz w:val="32"/>
      <w:szCs w:val="32"/>
    </w:rPr>
  </w:style>
  <w:style w:type="paragraph" w:customStyle="1" w:styleId="504">
    <w:name w:val="默认段落样式"/>
    <w:basedOn w:val="131"/>
    <w:qFormat/>
    <w:uiPriority w:val="0"/>
    <w:pPr>
      <w:spacing w:before="0"/>
      <w:ind w:firstLine="480"/>
      <w:outlineLvl w:val="2"/>
    </w:pPr>
    <w:rPr>
      <w:rFonts w:ascii="仿宋_GB2312" w:hAnsi="宋体" w:eastAsia="仿宋_GB2312"/>
      <w:color w:val="000000"/>
      <w:szCs w:val="24"/>
    </w:rPr>
  </w:style>
  <w:style w:type="paragraph" w:customStyle="1" w:styleId="505">
    <w:name w:val="图中文字"/>
    <w:basedOn w:val="1"/>
    <w:qFormat/>
    <w:uiPriority w:val="0"/>
    <w:pPr>
      <w:snapToGrid w:val="0"/>
      <w:spacing w:line="0" w:lineRule="atLeast"/>
      <w:ind w:firstLine="200" w:firstLineChars="200"/>
      <w:jc w:val="center"/>
    </w:pPr>
    <w:rPr>
      <w:sz w:val="24"/>
      <w:szCs w:val="20"/>
    </w:rPr>
  </w:style>
  <w:style w:type="paragraph" w:customStyle="1" w:styleId="506">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7">
    <w:name w:val="MM Topic 3"/>
    <w:basedOn w:val="4"/>
    <w:qFormat/>
    <w:uiPriority w:val="0"/>
    <w:pPr>
      <w:tabs>
        <w:tab w:val="left" w:pos="1680"/>
      </w:tabs>
      <w:adjustRightInd/>
      <w:ind w:left="1680" w:hanging="420"/>
    </w:pPr>
  </w:style>
  <w:style w:type="paragraph" w:customStyle="1" w:styleId="508">
    <w:name w:val="标准小四"/>
    <w:basedOn w:val="1"/>
    <w:qFormat/>
    <w:uiPriority w:val="0"/>
    <w:pPr>
      <w:spacing w:line="360" w:lineRule="auto"/>
      <w:ind w:firstLine="480" w:firstLineChars="200"/>
    </w:pPr>
    <w:rPr>
      <w:rFonts w:ascii="Arial" w:hAnsi="Arial"/>
      <w:sz w:val="24"/>
      <w:szCs w:val="21"/>
    </w:rPr>
  </w:style>
  <w:style w:type="paragraph" w:customStyle="1" w:styleId="509">
    <w:name w:val="样式 标题 2H2h2Underrubrik1prop2l2Chapter Titlesect 1.2DO NO..."/>
    <w:basedOn w:val="3"/>
    <w:qFormat/>
    <w:uiPriority w:val="0"/>
    <w:pPr>
      <w:spacing w:before="120" w:after="120"/>
      <w:ind w:left="425" w:hanging="425"/>
    </w:pPr>
    <w:rPr>
      <w:rFonts w:ascii="微软雅黑" w:hAnsi="微软雅黑" w:eastAsia="微软雅黑" w:cs="宋体"/>
      <w:szCs w:val="20"/>
      <w:lang w:val="en-US"/>
    </w:rPr>
  </w:style>
  <w:style w:type="paragraph" w:customStyle="1" w:styleId="510">
    <w:name w:val="表格（小）"/>
    <w:basedOn w:val="1"/>
    <w:qFormat/>
    <w:uiPriority w:val="0"/>
    <w:pPr>
      <w:adjustRightInd/>
      <w:snapToGrid w:val="0"/>
      <w:spacing w:line="300" w:lineRule="auto"/>
    </w:pPr>
    <w:rPr>
      <w:rFonts w:eastAsia="仿宋"/>
      <w:szCs w:val="21"/>
    </w:rPr>
  </w:style>
  <w:style w:type="paragraph" w:customStyle="1" w:styleId="511">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2">
    <w:name w:val="Char2 Char Char1"/>
    <w:basedOn w:val="1"/>
    <w:qFormat/>
    <w:uiPriority w:val="6"/>
    <w:pPr>
      <w:adjustRightInd/>
    </w:pPr>
    <w:rPr>
      <w:rFonts w:ascii="Tahoma" w:hAnsi="Tahoma"/>
      <w:sz w:val="24"/>
      <w:szCs w:val="20"/>
    </w:rPr>
  </w:style>
  <w:style w:type="paragraph" w:customStyle="1" w:styleId="513">
    <w:name w:val="列出段落5"/>
    <w:basedOn w:val="1"/>
    <w:qFormat/>
    <w:uiPriority w:val="0"/>
    <w:pPr>
      <w:spacing w:line="360" w:lineRule="auto"/>
      <w:ind w:firstLine="200" w:firstLineChars="200"/>
    </w:pPr>
    <w:rPr>
      <w:rFonts w:eastAsia="楷体_GB2312" w:cs="Lucida Sans"/>
      <w:sz w:val="24"/>
    </w:rPr>
  </w:style>
  <w:style w:type="paragraph" w:customStyle="1" w:styleId="514">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5">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516">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7">
    <w:name w:val="TOC 标题111"/>
    <w:basedOn w:val="2"/>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8">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9">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20">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1">
    <w:name w:val="_Style 3"/>
    <w:basedOn w:val="1"/>
    <w:qFormat/>
    <w:uiPriority w:val="0"/>
    <w:pPr>
      <w:adjustRightInd/>
      <w:ind w:firstLine="420" w:firstLineChars="200"/>
    </w:pPr>
    <w:rPr>
      <w:rFonts w:eastAsia="仿宋_GB2312"/>
      <w:sz w:val="28"/>
    </w:rPr>
  </w:style>
  <w:style w:type="paragraph" w:customStyle="1" w:styleId="522">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3">
    <w:name w:val="Bulleting First Indent 1"/>
    <w:basedOn w:val="24"/>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4">
    <w:name w:val="左对齐表格文字"/>
    <w:basedOn w:val="1"/>
    <w:qFormat/>
    <w:uiPriority w:val="0"/>
    <w:pPr>
      <w:adjustRightInd/>
      <w:ind w:firstLine="200" w:firstLineChars="200"/>
      <w:jc w:val="right"/>
    </w:pPr>
  </w:style>
  <w:style w:type="paragraph" w:customStyle="1" w:styleId="525">
    <w:name w:val="Char Char11 Char Char Char Char Char Char Char Char Char"/>
    <w:basedOn w:val="1"/>
    <w:qFormat/>
    <w:uiPriority w:val="0"/>
    <w:pPr>
      <w:spacing w:line="360" w:lineRule="auto"/>
    </w:pPr>
    <w:rPr>
      <w:szCs w:val="20"/>
    </w:rPr>
  </w:style>
  <w:style w:type="paragraph" w:customStyle="1" w:styleId="526">
    <w:name w:val="正文1.25"/>
    <w:basedOn w:val="1"/>
    <w:qFormat/>
    <w:uiPriority w:val="0"/>
    <w:pPr>
      <w:adjustRightInd/>
      <w:spacing w:line="300" w:lineRule="auto"/>
      <w:ind w:firstLine="480" w:firstLineChars="200"/>
    </w:pPr>
    <w:rPr>
      <w:sz w:val="24"/>
      <w:szCs w:val="20"/>
    </w:rPr>
  </w:style>
  <w:style w:type="paragraph" w:customStyle="1" w:styleId="527">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8">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9">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0">
    <w:name w:val="Char Char1 Char Char Char1"/>
    <w:basedOn w:val="1"/>
    <w:qFormat/>
    <w:uiPriority w:val="6"/>
    <w:rPr>
      <w:rFonts w:ascii="仿宋_GB2312" w:eastAsia="仿宋_GB2312"/>
      <w:b/>
      <w:sz w:val="32"/>
      <w:szCs w:val="20"/>
    </w:rPr>
  </w:style>
  <w:style w:type="paragraph" w:customStyle="1" w:styleId="531">
    <w:name w:val="列出段落2"/>
    <w:basedOn w:val="1"/>
    <w:qFormat/>
    <w:uiPriority w:val="0"/>
    <w:pPr>
      <w:adjustRightInd/>
      <w:ind w:firstLine="420" w:firstLineChars="200"/>
    </w:pPr>
    <w:rPr>
      <w:rFonts w:ascii="宋体" w:hAnsi="宋体"/>
      <w:sz w:val="24"/>
    </w:rPr>
  </w:style>
  <w:style w:type="paragraph" w:customStyle="1" w:styleId="532">
    <w:name w:val="默认段落字体 Para Char Char Char Char Char Char Char"/>
    <w:basedOn w:val="1"/>
    <w:qFormat/>
    <w:uiPriority w:val="0"/>
    <w:rPr>
      <w:rFonts w:eastAsia="仿宋_GB2312"/>
      <w:sz w:val="28"/>
      <w:szCs w:val="20"/>
    </w:rPr>
  </w:style>
  <w:style w:type="paragraph" w:customStyle="1" w:styleId="533">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4">
    <w:name w:val="样式 标题 4PIM 4H4h4bulletblbbH41H42H43H44H45H46H47H48...1"/>
    <w:basedOn w:val="6"/>
    <w:qFormat/>
    <w:uiPriority w:val="0"/>
    <w:pPr>
      <w:widowControl/>
      <w:jc w:val="left"/>
    </w:pPr>
    <w:rPr>
      <w:rFonts w:cs="宋体"/>
      <w:sz w:val="24"/>
      <w:szCs w:val="20"/>
    </w:rPr>
  </w:style>
  <w:style w:type="paragraph" w:customStyle="1" w:styleId="535">
    <w:name w:val="彩色列表 - 强调文字颜色 11"/>
    <w:basedOn w:val="1"/>
    <w:qFormat/>
    <w:uiPriority w:val="0"/>
    <w:pPr>
      <w:adjustRightInd/>
      <w:ind w:firstLine="420" w:firstLineChars="200"/>
    </w:pPr>
    <w:rPr>
      <w:rFonts w:ascii="Calibri" w:hAnsi="Calibri"/>
      <w:szCs w:val="22"/>
    </w:rPr>
  </w:style>
  <w:style w:type="paragraph" w:customStyle="1" w:styleId="536">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7">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8">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9">
    <w:name w:val="Char Char Char1 Char1"/>
    <w:basedOn w:val="1"/>
    <w:qFormat/>
    <w:uiPriority w:val="6"/>
    <w:rPr>
      <w:szCs w:val="20"/>
    </w:rPr>
  </w:style>
  <w:style w:type="paragraph" w:customStyle="1" w:styleId="540">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1">
    <w:name w:val="样式 标题 2 + 宋体 左侧:  1.76 厘米 首行缩进:  0 厘米"/>
    <w:basedOn w:val="3"/>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2">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3">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4">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5">
    <w:name w:val="CM14"/>
    <w:basedOn w:val="235"/>
    <w:next w:val="235"/>
    <w:qFormat/>
    <w:uiPriority w:val="0"/>
    <w:pPr>
      <w:spacing w:after="68"/>
    </w:pPr>
    <w:rPr>
      <w:rFonts w:ascii="FHLHE E+ Futura Bk" w:eastAsia="FHLHE E+ Futura Bk" w:cs="Times New Roman"/>
      <w:color w:val="auto"/>
    </w:rPr>
  </w:style>
  <w:style w:type="paragraph" w:customStyle="1" w:styleId="546">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7">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8">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9">
    <w:name w:val="正文文字 2"/>
    <w:basedOn w:val="235"/>
    <w:next w:val="235"/>
    <w:qFormat/>
    <w:uiPriority w:val="0"/>
    <w:rPr>
      <w:rFonts w:ascii="宋体" w:eastAsia="宋体" w:cs="Times New Roman"/>
      <w:color w:val="auto"/>
    </w:rPr>
  </w:style>
  <w:style w:type="paragraph" w:customStyle="1" w:styleId="550">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1">
    <w:name w:val="Char Char1 Char"/>
    <w:basedOn w:val="1"/>
    <w:qFormat/>
    <w:uiPriority w:val="0"/>
    <w:rPr>
      <w:rFonts w:ascii="仿宋_GB2312" w:eastAsia="仿宋_GB2312"/>
      <w:b/>
      <w:sz w:val="32"/>
      <w:szCs w:val="32"/>
    </w:rPr>
  </w:style>
  <w:style w:type="paragraph" w:customStyle="1" w:styleId="552">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3">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4">
    <w:name w:val="Char Char111"/>
    <w:basedOn w:val="1"/>
    <w:qFormat/>
    <w:uiPriority w:val="0"/>
    <w:pPr>
      <w:spacing w:line="360" w:lineRule="auto"/>
    </w:pPr>
    <w:rPr>
      <w:szCs w:val="20"/>
    </w:rPr>
  </w:style>
  <w:style w:type="paragraph" w:customStyle="1" w:styleId="555">
    <w:name w:val="Char"/>
    <w:basedOn w:val="1"/>
    <w:qFormat/>
    <w:uiPriority w:val="0"/>
    <w:rPr>
      <w:rFonts w:ascii="仿宋_GB2312" w:eastAsia="仿宋_GB2312"/>
      <w:b/>
      <w:sz w:val="32"/>
      <w:szCs w:val="32"/>
    </w:rPr>
  </w:style>
  <w:style w:type="paragraph" w:customStyle="1" w:styleId="556">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7">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8">
    <w:name w:val="Char Char Char1 Char"/>
    <w:basedOn w:val="1"/>
    <w:qFormat/>
    <w:uiPriority w:val="0"/>
    <w:rPr>
      <w:szCs w:val="20"/>
    </w:rPr>
  </w:style>
  <w:style w:type="paragraph" w:customStyle="1" w:styleId="559">
    <w:name w:val="正文标准"/>
    <w:basedOn w:val="1"/>
    <w:qFormat/>
    <w:uiPriority w:val="0"/>
    <w:pPr>
      <w:adjustRightInd/>
      <w:spacing w:line="360" w:lineRule="auto"/>
      <w:ind w:firstLine="200" w:firstLineChars="200"/>
    </w:pPr>
    <w:rPr>
      <w:rFonts w:ascii="宋体" w:hAnsi="Calibri"/>
      <w:sz w:val="24"/>
    </w:rPr>
  </w:style>
  <w:style w:type="paragraph" w:customStyle="1" w:styleId="560">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1">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2">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3">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4">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5">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6">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7">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9">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0">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1">
    <w:name w:val="标准有序列表（L1）"/>
    <w:basedOn w:val="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2">
    <w:name w:val="Char Char Char Char Char Char Char Char Char Char"/>
    <w:basedOn w:val="1"/>
    <w:qFormat/>
    <w:uiPriority w:val="0"/>
    <w:rPr>
      <w:rFonts w:ascii="仿宋_GB2312" w:eastAsia="仿宋_GB2312"/>
      <w:b/>
      <w:sz w:val="32"/>
      <w:szCs w:val="32"/>
    </w:rPr>
  </w:style>
  <w:style w:type="paragraph" w:customStyle="1" w:styleId="573">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4">
    <w:name w:val="_正文段落"/>
    <w:basedOn w:val="1"/>
    <w:qFormat/>
    <w:uiPriority w:val="0"/>
    <w:pPr>
      <w:adjustRightInd/>
      <w:ind w:firstLine="560"/>
    </w:pPr>
    <w:rPr>
      <w:rFonts w:ascii="仿宋_GB2312" w:hAnsi="仿宋" w:eastAsia="仿宋_GB2312"/>
      <w:kern w:val="0"/>
      <w:sz w:val="28"/>
      <w:szCs w:val="28"/>
    </w:rPr>
  </w:style>
  <w:style w:type="paragraph" w:customStyle="1" w:styleId="575">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6">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7">
    <w:name w:val="正文（首行缩进）"/>
    <w:basedOn w:val="26"/>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8">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9">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0">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1">
    <w:name w:val="Char Char Char1 Char2"/>
    <w:basedOn w:val="1"/>
    <w:qFormat/>
    <w:uiPriority w:val="0"/>
    <w:rPr>
      <w:szCs w:val="20"/>
    </w:rPr>
  </w:style>
  <w:style w:type="paragraph" w:customStyle="1" w:styleId="582">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3">
    <w:name w:val="默认段落字体 Para Char"/>
    <w:basedOn w:val="1"/>
    <w:qFormat/>
    <w:uiPriority w:val="0"/>
    <w:rPr>
      <w:rFonts w:ascii="Tahoma" w:hAnsi="Tahoma"/>
      <w:sz w:val="24"/>
      <w:szCs w:val="20"/>
    </w:rPr>
  </w:style>
  <w:style w:type="paragraph" w:customStyle="1" w:styleId="584">
    <w:name w:val="标题五"/>
    <w:basedOn w:val="1"/>
    <w:qFormat/>
    <w:uiPriority w:val="0"/>
    <w:pPr>
      <w:adjustRightInd/>
      <w:spacing w:before="156" w:beforeLines="50" w:line="360" w:lineRule="auto"/>
    </w:pPr>
    <w:rPr>
      <w:b/>
      <w:sz w:val="24"/>
    </w:rPr>
  </w:style>
  <w:style w:type="paragraph" w:customStyle="1" w:styleId="585">
    <w:name w:val="Char Char1101"/>
    <w:basedOn w:val="1"/>
    <w:qFormat/>
    <w:uiPriority w:val="0"/>
    <w:pPr>
      <w:spacing w:line="360" w:lineRule="auto"/>
    </w:pPr>
    <w:rPr>
      <w:rFonts w:ascii="Tahoma" w:hAnsi="Tahoma"/>
      <w:sz w:val="24"/>
      <w:szCs w:val="20"/>
    </w:rPr>
  </w:style>
  <w:style w:type="paragraph" w:customStyle="1" w:styleId="586">
    <w:name w:val="Char Char Char Char Char Char Char Char1"/>
    <w:basedOn w:val="1"/>
    <w:qFormat/>
    <w:uiPriority w:val="0"/>
    <w:pPr>
      <w:tabs>
        <w:tab w:val="left" w:pos="360"/>
      </w:tabs>
    </w:pPr>
    <w:rPr>
      <w:sz w:val="24"/>
      <w:szCs w:val="20"/>
    </w:rPr>
  </w:style>
  <w:style w:type="paragraph" w:customStyle="1" w:styleId="587">
    <w:name w:val="Char Char Char 字元 字元"/>
    <w:basedOn w:val="1"/>
    <w:qFormat/>
    <w:uiPriority w:val="0"/>
    <w:pPr>
      <w:adjustRightInd/>
      <w:spacing w:line="360" w:lineRule="auto"/>
      <w:ind w:firstLine="200" w:firstLineChars="200"/>
    </w:pPr>
    <w:rPr>
      <w:szCs w:val="20"/>
    </w:rPr>
  </w:style>
  <w:style w:type="paragraph" w:customStyle="1" w:styleId="588">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9">
    <w:name w:val="Char Char Char Char Char Char Char"/>
    <w:basedOn w:val="1"/>
    <w:qFormat/>
    <w:uiPriority w:val="0"/>
    <w:rPr>
      <w:rFonts w:ascii="仿宋_GB2312" w:eastAsia="仿宋_GB2312"/>
      <w:b/>
      <w:sz w:val="32"/>
      <w:szCs w:val="32"/>
    </w:rPr>
  </w:style>
  <w:style w:type="paragraph" w:customStyle="1" w:styleId="590">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1">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2">
    <w:name w:val="样式 标题 22h2L1 Heading 2H2sect 1.2H21sect 1.21H22sect 1.2..."/>
    <w:basedOn w:val="3"/>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3">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594">
    <w:name w:val="批注框文本 Char Char"/>
    <w:basedOn w:val="1"/>
    <w:qFormat/>
    <w:uiPriority w:val="0"/>
    <w:pPr>
      <w:adjustRightInd/>
    </w:pPr>
    <w:rPr>
      <w:sz w:val="18"/>
      <w:szCs w:val="20"/>
    </w:rPr>
  </w:style>
  <w:style w:type="paragraph" w:customStyle="1" w:styleId="595">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6">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7">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8">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9">
    <w:name w:val="索引 11"/>
    <w:basedOn w:val="1"/>
    <w:next w:val="1"/>
    <w:qFormat/>
    <w:uiPriority w:val="99"/>
    <w:pPr>
      <w:adjustRightInd/>
      <w:spacing w:line="360" w:lineRule="auto"/>
    </w:pPr>
    <w:rPr>
      <w:rFonts w:ascii="仿宋_GB2312" w:eastAsia="仿宋_GB2312"/>
      <w:sz w:val="24"/>
      <w:szCs w:val="20"/>
    </w:rPr>
  </w:style>
  <w:style w:type="paragraph" w:customStyle="1" w:styleId="600">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1">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2">
    <w:name w:val="正文文字缩进项目"/>
    <w:basedOn w:val="2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3">
    <w:name w:val="文档正文"/>
    <w:basedOn w:val="1"/>
    <w:qFormat/>
    <w:uiPriority w:val="0"/>
    <w:pPr>
      <w:spacing w:line="480" w:lineRule="atLeast"/>
      <w:ind w:firstLine="567"/>
      <w:textAlignment w:val="baseline"/>
    </w:pPr>
    <w:rPr>
      <w:kern w:val="0"/>
      <w:sz w:val="24"/>
      <w:szCs w:val="20"/>
    </w:rPr>
  </w:style>
  <w:style w:type="paragraph" w:customStyle="1" w:styleId="604">
    <w:name w:val="正文文字表格居中"/>
    <w:basedOn w:val="1"/>
    <w:next w:val="57"/>
    <w:qFormat/>
    <w:uiPriority w:val="0"/>
    <w:pPr>
      <w:snapToGrid w:val="0"/>
      <w:spacing w:line="360" w:lineRule="auto"/>
    </w:pPr>
    <w:rPr>
      <w:rFonts w:ascii="宋体"/>
      <w:b/>
      <w:sz w:val="24"/>
      <w:szCs w:val="20"/>
    </w:rPr>
  </w:style>
  <w:style w:type="paragraph" w:customStyle="1" w:styleId="605">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6">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7">
    <w:name w:val="Plain Text1"/>
    <w:basedOn w:val="1"/>
    <w:qFormat/>
    <w:uiPriority w:val="7"/>
    <w:pPr>
      <w:adjustRightInd/>
    </w:pPr>
    <w:rPr>
      <w:rFonts w:ascii="宋体" w:hAnsi="Courier New"/>
    </w:rPr>
  </w:style>
  <w:style w:type="paragraph" w:customStyle="1" w:styleId="608">
    <w:name w:val="Char3"/>
    <w:basedOn w:val="1"/>
    <w:qFormat/>
    <w:uiPriority w:val="0"/>
    <w:pPr>
      <w:adjustRightInd/>
    </w:pPr>
    <w:rPr>
      <w:rFonts w:ascii="仿宋_GB2312" w:eastAsia="仿宋_GB2312"/>
      <w:b/>
      <w:sz w:val="32"/>
      <w:szCs w:val="32"/>
    </w:rPr>
  </w:style>
  <w:style w:type="paragraph" w:customStyle="1" w:styleId="609">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0">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1">
    <w:name w:val="标题2"/>
    <w:basedOn w:val="3"/>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2">
    <w:name w:val="List Paragraph1"/>
    <w:basedOn w:val="1"/>
    <w:qFormat/>
    <w:uiPriority w:val="0"/>
    <w:pPr>
      <w:spacing w:line="360" w:lineRule="auto"/>
      <w:ind w:firstLine="200" w:firstLineChars="200"/>
    </w:pPr>
    <w:rPr>
      <w:rFonts w:eastAsia="楷体_GB2312" w:cs="Lucida Sans"/>
      <w:sz w:val="24"/>
    </w:rPr>
  </w:style>
  <w:style w:type="paragraph" w:customStyle="1" w:styleId="613">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4">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5">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6">
    <w:name w:val="Char3 Char Char Char"/>
    <w:basedOn w:val="1"/>
    <w:qFormat/>
    <w:uiPriority w:val="0"/>
    <w:pPr>
      <w:widowControl/>
      <w:adjustRightInd/>
      <w:spacing w:after="160" w:line="240" w:lineRule="exact"/>
      <w:jc w:val="left"/>
    </w:pPr>
    <w:rPr>
      <w:szCs w:val="20"/>
    </w:rPr>
  </w:style>
  <w:style w:type="paragraph" w:customStyle="1" w:styleId="617">
    <w:name w:val="表格标题2"/>
    <w:basedOn w:val="618"/>
    <w:qFormat/>
    <w:uiPriority w:val="0"/>
    <w:rPr>
      <w:b/>
    </w:rPr>
  </w:style>
  <w:style w:type="paragraph" w:customStyle="1" w:styleId="618">
    <w:name w:val="表格内文"/>
    <w:basedOn w:val="1"/>
    <w:qFormat/>
    <w:uiPriority w:val="0"/>
    <w:pPr>
      <w:adjustRightInd/>
      <w:spacing w:line="360" w:lineRule="auto"/>
    </w:pPr>
    <w:rPr>
      <w:rFonts w:ascii="宋体" w:hAnsi="宋体" w:cs="宋体"/>
      <w:color w:val="000000"/>
      <w:szCs w:val="20"/>
    </w:rPr>
  </w:style>
  <w:style w:type="paragraph" w:customStyle="1" w:styleId="619">
    <w:name w:val="Char Char Char Char Char Char Char Char Char Char2"/>
    <w:basedOn w:val="1"/>
    <w:qFormat/>
    <w:uiPriority w:val="0"/>
    <w:rPr>
      <w:rFonts w:ascii="仿宋_GB2312" w:eastAsia="仿宋_GB2312"/>
      <w:b/>
      <w:sz w:val="32"/>
      <w:szCs w:val="32"/>
    </w:rPr>
  </w:style>
  <w:style w:type="paragraph" w:customStyle="1" w:styleId="620">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1">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2">
    <w:name w:val="Char Char11 Char Char Char Char Char Char Char Char Char11"/>
    <w:basedOn w:val="1"/>
    <w:qFormat/>
    <w:uiPriority w:val="0"/>
    <w:pPr>
      <w:spacing w:line="360" w:lineRule="auto"/>
    </w:pPr>
    <w:rPr>
      <w:szCs w:val="20"/>
    </w:rPr>
  </w:style>
  <w:style w:type="paragraph" w:customStyle="1" w:styleId="623">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4">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5">
    <w:name w:val="MM Topic 1"/>
    <w:basedOn w:val="2"/>
    <w:qFormat/>
    <w:uiPriority w:val="0"/>
    <w:pPr>
      <w:tabs>
        <w:tab w:val="left" w:pos="840"/>
      </w:tabs>
      <w:adjustRightInd/>
      <w:ind w:left="840" w:hanging="420"/>
    </w:pPr>
  </w:style>
  <w:style w:type="paragraph" w:customStyle="1" w:styleId="626">
    <w:name w:val="样式 标题 2标题2H2Heading 2 HiddenHeading 2 CCBSheading 22nd lev..."/>
    <w:basedOn w:val="3"/>
    <w:qFormat/>
    <w:uiPriority w:val="0"/>
    <w:pPr>
      <w:widowControl/>
      <w:spacing w:before="260" w:after="260" w:line="416" w:lineRule="auto"/>
      <w:ind w:left="0" w:firstLine="0"/>
    </w:pPr>
    <w:rPr>
      <w:rFonts w:ascii="Arial" w:hAnsi="Arial" w:eastAsia="黑体"/>
      <w:sz w:val="30"/>
      <w:szCs w:val="21"/>
    </w:rPr>
  </w:style>
  <w:style w:type="paragraph" w:customStyle="1" w:styleId="627">
    <w:name w:val="文本正文 Char"/>
    <w:basedOn w:val="1"/>
    <w:qFormat/>
    <w:uiPriority w:val="0"/>
    <w:pPr>
      <w:spacing w:line="360" w:lineRule="auto"/>
      <w:ind w:firstLine="200" w:firstLineChars="200"/>
    </w:pPr>
    <w:rPr>
      <w:kern w:val="0"/>
      <w:sz w:val="24"/>
      <w:szCs w:val="20"/>
    </w:rPr>
  </w:style>
  <w:style w:type="paragraph" w:customStyle="1" w:styleId="628">
    <w:name w:val="表格"/>
    <w:basedOn w:val="1"/>
    <w:qFormat/>
    <w:uiPriority w:val="0"/>
    <w:pPr>
      <w:snapToGrid w:val="0"/>
      <w:ind w:firstLine="42" w:firstLineChars="21"/>
    </w:pPr>
    <w:rPr>
      <w:rFonts w:ascii="宋体" w:hAnsi="宋体"/>
      <w:kern w:val="0"/>
      <w:sz w:val="20"/>
      <w:szCs w:val="20"/>
    </w:rPr>
  </w:style>
  <w:style w:type="paragraph" w:customStyle="1" w:styleId="629">
    <w:name w:val="标书标题4"/>
    <w:basedOn w:val="6"/>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0">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1">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2">
    <w:name w:val="表格项目符号 2"/>
    <w:basedOn w:val="30"/>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3">
    <w:name w:val="EB_表格"/>
    <w:basedOn w:val="1"/>
    <w:qFormat/>
    <w:uiPriority w:val="0"/>
    <w:pPr>
      <w:adjustRightInd/>
      <w:spacing w:line="300" w:lineRule="auto"/>
      <w:jc w:val="center"/>
    </w:pPr>
  </w:style>
  <w:style w:type="paragraph" w:customStyle="1" w:styleId="634">
    <w:name w:val="_Style 6"/>
    <w:basedOn w:val="1"/>
    <w:qFormat/>
    <w:uiPriority w:val="34"/>
    <w:pPr>
      <w:adjustRightInd/>
      <w:ind w:firstLine="420" w:firstLineChars="200"/>
    </w:pPr>
    <w:rPr>
      <w:rFonts w:eastAsia="仿宋_GB2312"/>
      <w:sz w:val="28"/>
    </w:rPr>
  </w:style>
  <w:style w:type="paragraph" w:customStyle="1" w:styleId="635">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6">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7">
    <w:name w:val="!大节"/>
    <w:basedOn w:val="3"/>
    <w:qFormat/>
    <w:uiPriority w:val="0"/>
    <w:pPr>
      <w:spacing w:before="260" w:after="260" w:line="415" w:lineRule="auto"/>
      <w:ind w:left="420" w:hanging="420"/>
    </w:pPr>
    <w:rPr>
      <w:rFonts w:ascii="Arial" w:hAnsi="Arial" w:eastAsia="微软雅黑"/>
      <w:lang w:val="en-US"/>
    </w:rPr>
  </w:style>
  <w:style w:type="paragraph" w:customStyle="1" w:styleId="638">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9">
    <w:name w:val="正文表标题"/>
    <w:next w:val="640"/>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1">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2">
    <w:name w:val="trademark"/>
    <w:qFormat/>
    <w:uiPriority w:val="0"/>
    <w:pPr>
      <w:spacing w:after="60"/>
    </w:pPr>
    <w:rPr>
      <w:rFonts w:ascii="Futura Bk" w:hAnsi="Futura Bk" w:eastAsia="宋体" w:cs="Times New Roman"/>
      <w:sz w:val="15"/>
      <w:lang w:val="en-US" w:eastAsia="en-US" w:bidi="ar-SA"/>
    </w:rPr>
  </w:style>
  <w:style w:type="paragraph" w:customStyle="1" w:styleId="643">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4">
    <w:name w:val="Char Char1 Char Char Char Char Char Char1"/>
    <w:basedOn w:val="1"/>
    <w:qFormat/>
    <w:uiPriority w:val="0"/>
    <w:rPr>
      <w:rFonts w:ascii="仿宋_GB2312" w:eastAsia="仿宋_GB2312"/>
      <w:b/>
      <w:sz w:val="32"/>
      <w:szCs w:val="20"/>
    </w:rPr>
  </w:style>
  <w:style w:type="paragraph" w:customStyle="1" w:styleId="645">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6">
    <w:name w:val="Char1 Char Char Char1"/>
    <w:basedOn w:val="1"/>
    <w:qFormat/>
    <w:uiPriority w:val="0"/>
    <w:pPr>
      <w:adjustRightInd/>
      <w:ind w:firstLine="200" w:firstLineChars="200"/>
    </w:pPr>
    <w:rPr>
      <w:rFonts w:ascii="Tahoma" w:hAnsi="Tahoma"/>
      <w:sz w:val="24"/>
      <w:szCs w:val="20"/>
    </w:rPr>
  </w:style>
  <w:style w:type="paragraph" w:customStyle="1" w:styleId="647">
    <w:name w:val="a1"/>
    <w:basedOn w:val="1"/>
    <w:qFormat/>
    <w:uiPriority w:val="0"/>
    <w:pPr>
      <w:widowControl/>
      <w:spacing w:line="300" w:lineRule="atLeast"/>
      <w:jc w:val="left"/>
    </w:pPr>
    <w:rPr>
      <w:rFonts w:ascii="宋体" w:hAnsi="宋体"/>
      <w:kern w:val="0"/>
      <w:sz w:val="18"/>
      <w:szCs w:val="20"/>
    </w:rPr>
  </w:style>
  <w:style w:type="paragraph" w:customStyle="1" w:styleId="648">
    <w:name w:val="样式7"/>
    <w:basedOn w:val="649"/>
    <w:next w:val="1"/>
    <w:qFormat/>
    <w:uiPriority w:val="0"/>
    <w:pPr>
      <w:spacing w:after="156" w:afterLines="50"/>
      <w:jc w:val="left"/>
      <w:outlineLvl w:val="3"/>
    </w:pPr>
    <w:rPr>
      <w:sz w:val="24"/>
      <w:szCs w:val="24"/>
    </w:rPr>
  </w:style>
  <w:style w:type="paragraph" w:customStyle="1" w:styleId="649">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50">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1">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2">
    <w:name w:val="样式 样式2 + 左侧:  1 字符 右侧:  1 字符"/>
    <w:basedOn w:val="460"/>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3">
    <w:name w:val="Char2 Char Char2"/>
    <w:basedOn w:val="1"/>
    <w:qFormat/>
    <w:uiPriority w:val="0"/>
    <w:pPr>
      <w:adjustRightInd/>
    </w:pPr>
    <w:rPr>
      <w:rFonts w:ascii="Tahoma" w:hAnsi="Tahoma"/>
      <w:sz w:val="24"/>
      <w:szCs w:val="20"/>
    </w:rPr>
  </w:style>
  <w:style w:type="paragraph" w:customStyle="1" w:styleId="654">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5">
    <w:name w:val="三级条标题"/>
    <w:basedOn w:val="656"/>
    <w:next w:val="640"/>
    <w:qFormat/>
    <w:uiPriority w:val="0"/>
    <w:pPr>
      <w:tabs>
        <w:tab w:val="left" w:pos="1260"/>
        <w:tab w:val="left" w:pos="1680"/>
        <w:tab w:val="left" w:pos="2100"/>
        <w:tab w:val="left" w:pos="2520"/>
      </w:tabs>
      <w:ind w:left="2520"/>
      <w:outlineLvl w:val="4"/>
    </w:pPr>
  </w:style>
  <w:style w:type="paragraph" w:customStyle="1" w:styleId="656">
    <w:name w:val="二级条标题"/>
    <w:basedOn w:val="657"/>
    <w:next w:val="640"/>
    <w:qFormat/>
    <w:uiPriority w:val="0"/>
    <w:pPr>
      <w:tabs>
        <w:tab w:val="left" w:pos="1260"/>
        <w:tab w:val="left" w:pos="1680"/>
        <w:tab w:val="left" w:pos="2100"/>
      </w:tabs>
      <w:ind w:left="0"/>
      <w:outlineLvl w:val="3"/>
    </w:pPr>
  </w:style>
  <w:style w:type="paragraph" w:customStyle="1" w:styleId="657">
    <w:name w:val="一级条标题"/>
    <w:basedOn w:val="658"/>
    <w:next w:val="640"/>
    <w:qFormat/>
    <w:uiPriority w:val="0"/>
    <w:pPr>
      <w:tabs>
        <w:tab w:val="left" w:pos="1260"/>
        <w:tab w:val="left" w:pos="1680"/>
      </w:tabs>
      <w:spacing w:before="0" w:beforeLines="0" w:after="0" w:afterLines="0"/>
      <w:ind w:left="1680"/>
      <w:outlineLvl w:val="2"/>
    </w:pPr>
  </w:style>
  <w:style w:type="paragraph" w:customStyle="1" w:styleId="658">
    <w:name w:val="章标题"/>
    <w:next w:val="640"/>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9">
    <w:name w:val="数字标题2"/>
    <w:basedOn w:val="3"/>
    <w:next w:val="1"/>
    <w:qFormat/>
    <w:uiPriority w:val="0"/>
    <w:pPr>
      <w:tabs>
        <w:tab w:val="left" w:pos="480"/>
      </w:tabs>
      <w:ind w:left="480" w:hanging="480"/>
    </w:pPr>
    <w:rPr>
      <w:rFonts w:ascii="Times New Roman" w:eastAsia="宋体"/>
      <w:i/>
      <w:sz w:val="36"/>
      <w:szCs w:val="36"/>
      <w:lang w:val="en-US"/>
    </w:rPr>
  </w:style>
  <w:style w:type="paragraph" w:customStyle="1" w:styleId="660">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1">
    <w:name w:val="样式 标题 1Level 1 HeadPIM 1Section Headh1l11Heading 0Datash..."/>
    <w:basedOn w:val="2"/>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2">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3">
    <w:name w:val="样式 标题 1章节第一层h1H"/>
    <w:basedOn w:val="2"/>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4">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5">
    <w:name w:val="正文 项目2"/>
    <w:basedOn w:val="666"/>
    <w:qFormat/>
    <w:uiPriority w:val="0"/>
    <w:pPr>
      <w:tabs>
        <w:tab w:val="left" w:pos="840"/>
      </w:tabs>
      <w:spacing w:after="0"/>
      <w:ind w:left="900"/>
    </w:pPr>
  </w:style>
  <w:style w:type="paragraph" w:customStyle="1" w:styleId="666">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7">
    <w:name w:val="Body Text 2*"/>
    <w:basedOn w:val="1"/>
    <w:qFormat/>
    <w:uiPriority w:val="6"/>
    <w:pPr>
      <w:widowControl/>
      <w:adjustRightInd/>
      <w:ind w:left="720" w:hanging="720"/>
    </w:pPr>
    <w:rPr>
      <w:color w:val="000000"/>
      <w:kern w:val="0"/>
      <w:sz w:val="24"/>
      <w:szCs w:val="20"/>
      <w:lang w:val="en-GB"/>
    </w:rPr>
  </w:style>
  <w:style w:type="paragraph" w:customStyle="1" w:styleId="668">
    <w:name w:val="表1"/>
    <w:basedOn w:val="1"/>
    <w:qFormat/>
    <w:uiPriority w:val="0"/>
    <w:pPr>
      <w:tabs>
        <w:tab w:val="left" w:pos="703"/>
      </w:tabs>
      <w:adjustRightInd/>
      <w:spacing w:line="360" w:lineRule="auto"/>
      <w:ind w:left="703"/>
      <w:jc w:val="center"/>
    </w:pPr>
  </w:style>
  <w:style w:type="paragraph" w:customStyle="1" w:styleId="669">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0">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1">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2">
    <w:name w:val="2级标题"/>
    <w:basedOn w:val="673"/>
    <w:qFormat/>
    <w:uiPriority w:val="0"/>
    <w:pPr>
      <w:jc w:val="left"/>
      <w:outlineLvl w:val="1"/>
    </w:pPr>
    <w:rPr>
      <w:rFonts w:ascii="Times New Roman" w:hAnsi="Times New Roman" w:eastAsia="仿宋"/>
      <w:sz w:val="30"/>
    </w:rPr>
  </w:style>
  <w:style w:type="paragraph" w:customStyle="1" w:styleId="673">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4">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5">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6">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7">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8">
    <w:name w:val="bullet"/>
    <w:basedOn w:val="1"/>
    <w:qFormat/>
    <w:uiPriority w:val="0"/>
    <w:pPr>
      <w:tabs>
        <w:tab w:val="left" w:pos="840"/>
      </w:tabs>
      <w:adjustRightInd/>
      <w:ind w:left="840" w:hanging="420"/>
    </w:pPr>
  </w:style>
  <w:style w:type="paragraph" w:customStyle="1" w:styleId="679">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0">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1">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2">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3">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4">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5">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6">
    <w:name w:val="MM Topic 4"/>
    <w:basedOn w:val="6"/>
    <w:qFormat/>
    <w:uiPriority w:val="0"/>
    <w:pPr>
      <w:tabs>
        <w:tab w:val="left" w:pos="2100"/>
      </w:tabs>
      <w:adjustRightInd/>
      <w:ind w:left="2100" w:hanging="420"/>
    </w:pPr>
    <w:rPr>
      <w:lang w:val="en-US"/>
    </w:rPr>
  </w:style>
  <w:style w:type="paragraph" w:customStyle="1" w:styleId="687">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8">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9">
    <w:name w:val="Char Char11 Char Char Char Char Char Char Char Char Char1"/>
    <w:basedOn w:val="1"/>
    <w:qFormat/>
    <w:uiPriority w:val="6"/>
    <w:pPr>
      <w:spacing w:line="360" w:lineRule="auto"/>
    </w:pPr>
    <w:rPr>
      <w:szCs w:val="20"/>
    </w:rPr>
  </w:style>
  <w:style w:type="paragraph" w:customStyle="1" w:styleId="690">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1">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2">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3">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4">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5">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6">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7">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8">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9">
    <w:name w:val="单元格居中"/>
    <w:basedOn w:val="1"/>
    <w:qFormat/>
    <w:uiPriority w:val="0"/>
    <w:pPr>
      <w:adjustRightInd/>
      <w:spacing w:line="360" w:lineRule="auto"/>
      <w:jc w:val="center"/>
    </w:pPr>
    <w:rPr>
      <w:sz w:val="24"/>
    </w:rPr>
  </w:style>
  <w:style w:type="paragraph" w:customStyle="1" w:styleId="700">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1">
    <w:name w:val="Char Char Char Char Char Char Char1"/>
    <w:basedOn w:val="1"/>
    <w:qFormat/>
    <w:uiPriority w:val="6"/>
    <w:rPr>
      <w:rFonts w:ascii="仿宋_GB2312" w:eastAsia="仿宋_GB2312"/>
      <w:b/>
      <w:sz w:val="32"/>
      <w:szCs w:val="32"/>
    </w:rPr>
  </w:style>
  <w:style w:type="paragraph" w:customStyle="1" w:styleId="702">
    <w:name w:val="正文缩进1"/>
    <w:basedOn w:val="1"/>
    <w:next w:val="2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3">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4">
    <w:name w:val="Char3 Char Char Char11"/>
    <w:basedOn w:val="1"/>
    <w:qFormat/>
    <w:uiPriority w:val="0"/>
    <w:pPr>
      <w:widowControl/>
      <w:adjustRightInd/>
      <w:spacing w:after="160" w:line="240" w:lineRule="exact"/>
      <w:jc w:val="left"/>
    </w:pPr>
    <w:rPr>
      <w:szCs w:val="20"/>
    </w:rPr>
  </w:style>
  <w:style w:type="paragraph" w:customStyle="1" w:styleId="705">
    <w:name w:val="Char Char1121"/>
    <w:basedOn w:val="1"/>
    <w:qFormat/>
    <w:uiPriority w:val="0"/>
    <w:pPr>
      <w:spacing w:line="360" w:lineRule="auto"/>
    </w:pPr>
    <w:rPr>
      <w:szCs w:val="20"/>
    </w:rPr>
  </w:style>
  <w:style w:type="paragraph" w:customStyle="1" w:styleId="706">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7">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8">
    <w:name w:val="Normal0"/>
    <w:qFormat/>
    <w:uiPriority w:val="0"/>
    <w:rPr>
      <w:rFonts w:ascii="Times New Roman" w:hAnsi="Times New Roman" w:eastAsia="宋体" w:cs="Times New Roman"/>
      <w:lang w:val="en-US" w:eastAsia="en-US" w:bidi="ar-SA"/>
    </w:rPr>
  </w:style>
  <w:style w:type="paragraph" w:customStyle="1" w:styleId="709">
    <w:name w:val="带编号样式"/>
    <w:basedOn w:val="627"/>
    <w:qFormat/>
    <w:uiPriority w:val="0"/>
    <w:pPr>
      <w:tabs>
        <w:tab w:val="left" w:pos="840"/>
      </w:tabs>
      <w:snapToGrid w:val="0"/>
      <w:ind w:left="840" w:hanging="420" w:firstLineChars="0"/>
    </w:pPr>
    <w:rPr>
      <w:rFonts w:ascii="仿宋_GB2312" w:eastAsia="仿宋_GB2312"/>
      <w:color w:val="000000"/>
    </w:rPr>
  </w:style>
  <w:style w:type="paragraph" w:customStyle="1" w:styleId="710">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1">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2">
    <w:name w:val="封面"/>
    <w:basedOn w:val="1"/>
    <w:qFormat/>
    <w:uiPriority w:val="0"/>
    <w:pPr>
      <w:spacing w:line="360" w:lineRule="atLeast"/>
      <w:jc w:val="right"/>
      <w:textAlignment w:val="baseline"/>
    </w:pPr>
    <w:rPr>
      <w:rFonts w:ascii="Symbol" w:hAnsi="Symbol"/>
      <w:kern w:val="0"/>
      <w:szCs w:val="20"/>
    </w:rPr>
  </w:style>
  <w:style w:type="paragraph" w:customStyle="1" w:styleId="713">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4">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5">
    <w:name w:val="默认段落字体 Para Char Char Char1 Char"/>
    <w:basedOn w:val="1"/>
    <w:qFormat/>
    <w:uiPriority w:val="0"/>
    <w:pPr>
      <w:spacing w:line="240" w:lineRule="atLeast"/>
      <w:ind w:left="420" w:firstLine="420"/>
    </w:pPr>
    <w:rPr>
      <w:sz w:val="24"/>
    </w:rPr>
  </w:style>
  <w:style w:type="paragraph" w:customStyle="1" w:styleId="716">
    <w:name w:val="WW-正文文字缩进 2"/>
    <w:basedOn w:val="1"/>
    <w:qFormat/>
    <w:uiPriority w:val="0"/>
    <w:pPr>
      <w:suppressAutoHyphens/>
      <w:adjustRightInd/>
      <w:ind w:firstLine="420"/>
    </w:pPr>
    <w:rPr>
      <w:kern w:val="1"/>
      <w:szCs w:val="20"/>
    </w:rPr>
  </w:style>
  <w:style w:type="paragraph" w:customStyle="1" w:styleId="717">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8">
    <w:name w:val="样式 标题 2 + 四号"/>
    <w:basedOn w:val="3"/>
    <w:qFormat/>
    <w:uiPriority w:val="0"/>
    <w:pPr>
      <w:spacing w:before="120" w:after="120"/>
      <w:ind w:left="0" w:firstLine="0"/>
      <w:jc w:val="both"/>
    </w:pPr>
    <w:rPr>
      <w:rFonts w:ascii="宋体" w:hAnsi="Arial" w:eastAsia="宋体"/>
      <w:sz w:val="28"/>
      <w:lang w:val="en-US"/>
    </w:rPr>
  </w:style>
  <w:style w:type="paragraph" w:customStyle="1" w:styleId="719">
    <w:name w:val="有符号正文"/>
    <w:basedOn w:val="1"/>
    <w:qFormat/>
    <w:uiPriority w:val="0"/>
    <w:pPr>
      <w:adjustRightInd/>
      <w:spacing w:line="400" w:lineRule="exact"/>
      <w:ind w:firstLine="200" w:firstLineChars="200"/>
    </w:pPr>
    <w:rPr>
      <w:rFonts w:ascii="Arial" w:hAnsi="Arial"/>
    </w:rPr>
  </w:style>
  <w:style w:type="paragraph" w:customStyle="1" w:styleId="720">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1">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2">
    <w:name w:val="4"/>
    <w:basedOn w:val="1"/>
    <w:next w:val="38"/>
    <w:qFormat/>
    <w:uiPriority w:val="0"/>
    <w:pPr>
      <w:spacing w:after="120" w:line="480" w:lineRule="auto"/>
      <w:ind w:left="420" w:leftChars="200"/>
    </w:pPr>
    <w:rPr>
      <w:sz w:val="24"/>
      <w:szCs w:val="20"/>
    </w:rPr>
  </w:style>
  <w:style w:type="paragraph" w:customStyle="1" w:styleId="723">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4">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5">
    <w:name w:val="样式 标题 3H3 + 两端对齐"/>
    <w:basedOn w:val="4"/>
    <w:qFormat/>
    <w:uiPriority w:val="0"/>
    <w:pPr>
      <w:keepLines w:val="0"/>
      <w:spacing w:before="0" w:after="0" w:line="240" w:lineRule="auto"/>
      <w:jc w:val="left"/>
    </w:pPr>
    <w:rPr>
      <w:rFonts w:cs="宋体"/>
      <w:sz w:val="21"/>
      <w:szCs w:val="20"/>
    </w:rPr>
  </w:style>
  <w:style w:type="paragraph" w:customStyle="1" w:styleId="726">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7">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8">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9">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30">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1">
    <w:name w:val="Char Char1 Char Char Char"/>
    <w:basedOn w:val="1"/>
    <w:qFormat/>
    <w:uiPriority w:val="0"/>
    <w:rPr>
      <w:rFonts w:ascii="仿宋_GB2312" w:eastAsia="仿宋_GB2312"/>
      <w:b/>
      <w:sz w:val="32"/>
      <w:szCs w:val="20"/>
    </w:rPr>
  </w:style>
  <w:style w:type="paragraph" w:customStyle="1" w:styleId="732">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3">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4">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5">
    <w:name w:val="Char Char1 Char Char Char2"/>
    <w:basedOn w:val="1"/>
    <w:qFormat/>
    <w:uiPriority w:val="0"/>
    <w:rPr>
      <w:rFonts w:ascii="仿宋_GB2312" w:eastAsia="仿宋_GB2312"/>
      <w:b/>
      <w:sz w:val="32"/>
      <w:szCs w:val="32"/>
    </w:rPr>
  </w:style>
  <w:style w:type="paragraph" w:customStyle="1" w:styleId="736">
    <w:name w:val="Char3 Char Char Char1"/>
    <w:basedOn w:val="1"/>
    <w:qFormat/>
    <w:uiPriority w:val="6"/>
    <w:pPr>
      <w:widowControl/>
      <w:adjustRightInd/>
      <w:spacing w:after="160" w:line="240" w:lineRule="exact"/>
      <w:jc w:val="left"/>
    </w:pPr>
    <w:rPr>
      <w:szCs w:val="20"/>
    </w:rPr>
  </w:style>
  <w:style w:type="paragraph" w:customStyle="1" w:styleId="737">
    <w:name w:val="Char1 Char Char Char21"/>
    <w:basedOn w:val="1"/>
    <w:qFormat/>
    <w:uiPriority w:val="0"/>
    <w:rPr>
      <w:rFonts w:ascii="Tahoma" w:hAnsi="Tahoma"/>
      <w:sz w:val="24"/>
      <w:szCs w:val="20"/>
    </w:rPr>
  </w:style>
  <w:style w:type="paragraph" w:customStyle="1" w:styleId="738">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9">
    <w:name w:val="正文（标题三）"/>
    <w:basedOn w:val="1"/>
    <w:qFormat/>
    <w:uiPriority w:val="0"/>
    <w:pPr>
      <w:spacing w:line="360" w:lineRule="auto"/>
      <w:ind w:firstLine="200" w:firstLineChars="200"/>
    </w:pPr>
    <w:rPr>
      <w:sz w:val="24"/>
    </w:rPr>
  </w:style>
  <w:style w:type="paragraph" w:customStyle="1" w:styleId="740">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1">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2">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3">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4">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5">
    <w:name w:val="Char1 Char Char Char4"/>
    <w:basedOn w:val="1"/>
    <w:qFormat/>
    <w:uiPriority w:val="0"/>
    <w:pPr>
      <w:adjustRightInd/>
      <w:ind w:firstLine="200" w:firstLineChars="200"/>
    </w:pPr>
    <w:rPr>
      <w:rFonts w:ascii="Tahoma" w:hAnsi="Tahoma"/>
      <w:sz w:val="24"/>
      <w:szCs w:val="20"/>
    </w:rPr>
  </w:style>
  <w:style w:type="paragraph" w:customStyle="1" w:styleId="746">
    <w:name w:val="_标题2"/>
    <w:basedOn w:val="713"/>
    <w:next w:val="713"/>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7">
    <w:name w:val="样式1 + (中宋体"/>
    <w:basedOn w:val="724"/>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8">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9">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0">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1">
    <w:name w:val="四号　首行缩进"/>
    <w:basedOn w:val="1"/>
    <w:qFormat/>
    <w:uiPriority w:val="0"/>
    <w:pPr>
      <w:adjustRightInd/>
      <w:spacing w:line="360" w:lineRule="auto"/>
    </w:pPr>
    <w:rPr>
      <w:rFonts w:ascii="宋体" w:hAnsi="宋体"/>
      <w:szCs w:val="20"/>
    </w:rPr>
  </w:style>
  <w:style w:type="paragraph" w:customStyle="1" w:styleId="752">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3">
    <w:name w:val="Char Char Char Char Char Char Char Char Char Char Char1 Char"/>
    <w:basedOn w:val="1"/>
    <w:qFormat/>
    <w:uiPriority w:val="0"/>
    <w:pPr>
      <w:adjustRightInd/>
    </w:pPr>
    <w:rPr>
      <w:rFonts w:ascii="Tahoma" w:hAnsi="Tahoma"/>
      <w:sz w:val="24"/>
    </w:rPr>
  </w:style>
  <w:style w:type="paragraph" w:customStyle="1" w:styleId="754">
    <w:name w:val="Char Char Char Char11"/>
    <w:basedOn w:val="1"/>
    <w:qFormat/>
    <w:uiPriority w:val="0"/>
    <w:rPr>
      <w:rFonts w:ascii="Tahoma" w:hAnsi="Tahoma"/>
      <w:sz w:val="24"/>
      <w:szCs w:val="20"/>
    </w:rPr>
  </w:style>
  <w:style w:type="paragraph" w:customStyle="1" w:styleId="755">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6">
    <w:name w:val="Char Char Char Char"/>
    <w:basedOn w:val="1"/>
    <w:qFormat/>
    <w:uiPriority w:val="0"/>
    <w:rPr>
      <w:rFonts w:ascii="Tahoma" w:hAnsi="Tahoma"/>
      <w:sz w:val="24"/>
      <w:szCs w:val="20"/>
    </w:rPr>
  </w:style>
  <w:style w:type="paragraph" w:customStyle="1" w:styleId="757">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8">
    <w:name w:val="Char19"/>
    <w:basedOn w:val="1"/>
    <w:qFormat/>
    <w:uiPriority w:val="0"/>
    <w:pPr>
      <w:adjustRightInd/>
    </w:pPr>
    <w:rPr>
      <w:szCs w:val="20"/>
    </w:rPr>
  </w:style>
  <w:style w:type="paragraph" w:customStyle="1" w:styleId="759">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0">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1">
    <w:name w:val="_Style 5"/>
    <w:basedOn w:val="1"/>
    <w:qFormat/>
    <w:uiPriority w:val="34"/>
    <w:pPr>
      <w:adjustRightInd/>
      <w:ind w:firstLine="420" w:firstLineChars="200"/>
    </w:pPr>
    <w:rPr>
      <w:rFonts w:eastAsia="仿宋_GB2312"/>
      <w:sz w:val="28"/>
    </w:rPr>
  </w:style>
  <w:style w:type="paragraph" w:customStyle="1" w:styleId="762">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3">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4">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5">
    <w:name w:val="标书表格字体格式"/>
    <w:next w:val="759"/>
    <w:qFormat/>
    <w:uiPriority w:val="0"/>
    <w:rPr>
      <w:rFonts w:ascii="Times New Roman" w:hAnsi="Times New Roman" w:eastAsia="宋体" w:cs="Times New Roman"/>
      <w:kern w:val="2"/>
      <w:sz w:val="21"/>
      <w:szCs w:val="24"/>
      <w:lang w:val="en-US" w:eastAsia="zh-CN" w:bidi="ar-SA"/>
    </w:rPr>
  </w:style>
  <w:style w:type="paragraph" w:customStyle="1" w:styleId="766">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7">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8">
    <w:name w:val="修订3"/>
    <w:qFormat/>
    <w:uiPriority w:val="0"/>
    <w:rPr>
      <w:rFonts w:ascii="Times New Roman" w:hAnsi="Times New Roman" w:eastAsia="宋体" w:cs="Times New Roman"/>
      <w:kern w:val="2"/>
      <w:sz w:val="21"/>
      <w:lang w:val="en-US" w:eastAsia="zh-CN" w:bidi="ar-SA"/>
    </w:rPr>
  </w:style>
  <w:style w:type="paragraph" w:customStyle="1" w:styleId="769">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770">
    <w:name w:val="无间隔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1">
    <w:name w:val="表文字"/>
    <w:qFormat/>
    <w:uiPriority w:val="0"/>
    <w:rPr>
      <w:rFonts w:ascii="宋体" w:hAnsi="Times New Roman" w:eastAsia="宋体" w:cs="Times New Roman"/>
      <w:kern w:val="2"/>
      <w:lang w:val="en-US" w:eastAsia="zh-CN" w:bidi="ar-SA"/>
    </w:rPr>
  </w:style>
  <w:style w:type="paragraph" w:customStyle="1" w:styleId="772">
    <w:name w:val="MM Title"/>
    <w:basedOn w:val="60"/>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3">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4">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5">
    <w:name w:val="Char Char Char Char Char Char Char Char2"/>
    <w:basedOn w:val="1"/>
    <w:qFormat/>
    <w:uiPriority w:val="0"/>
    <w:pPr>
      <w:tabs>
        <w:tab w:val="left" w:pos="360"/>
      </w:tabs>
    </w:pPr>
    <w:rPr>
      <w:sz w:val="24"/>
      <w:szCs w:val="20"/>
    </w:rPr>
  </w:style>
  <w:style w:type="paragraph" w:customStyle="1" w:styleId="776">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7">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8">
    <w:name w:val="中文标题 3"/>
    <w:basedOn w:val="2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9">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0">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1">
    <w:name w:val="正文－恩普"/>
    <w:basedOn w:val="5"/>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2">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3">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4">
    <w:name w:val="p0"/>
    <w:basedOn w:val="1"/>
    <w:qFormat/>
    <w:uiPriority w:val="0"/>
    <w:pPr>
      <w:widowControl/>
      <w:adjustRightInd/>
    </w:pPr>
    <w:rPr>
      <w:kern w:val="0"/>
      <w:szCs w:val="21"/>
    </w:rPr>
  </w:style>
  <w:style w:type="paragraph" w:customStyle="1" w:styleId="785">
    <w:name w:val="Char6"/>
    <w:basedOn w:val="1"/>
    <w:qFormat/>
    <w:uiPriority w:val="0"/>
    <w:rPr>
      <w:rFonts w:ascii="仿宋_GB2312" w:eastAsia="仿宋_GB2312"/>
      <w:b/>
      <w:sz w:val="32"/>
      <w:szCs w:val="32"/>
    </w:rPr>
  </w:style>
  <w:style w:type="paragraph" w:customStyle="1" w:styleId="786">
    <w:name w:val="Char111"/>
    <w:basedOn w:val="1"/>
    <w:qFormat/>
    <w:uiPriority w:val="0"/>
    <w:rPr>
      <w:rFonts w:ascii="仿宋_GB2312" w:eastAsia="仿宋_GB2312"/>
      <w:b/>
      <w:sz w:val="32"/>
      <w:szCs w:val="32"/>
    </w:rPr>
  </w:style>
  <w:style w:type="paragraph" w:customStyle="1" w:styleId="787">
    <w:name w:val="标题3"/>
    <w:basedOn w:val="4"/>
    <w:next w:val="53"/>
    <w:qFormat/>
    <w:uiPriority w:val="0"/>
    <w:pPr>
      <w:tabs>
        <w:tab w:val="clear" w:pos="900"/>
      </w:tabs>
      <w:spacing w:after="0" w:line="360" w:lineRule="auto"/>
    </w:pPr>
    <w:rPr>
      <w:rFonts w:ascii="仿宋" w:hAnsi="仿宋" w:eastAsia="仿宋" w:cs="仿宋"/>
    </w:rPr>
  </w:style>
  <w:style w:type="paragraph" w:customStyle="1" w:styleId="788">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9">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90">
    <w:name w:val="Char1 Char Char Char2"/>
    <w:basedOn w:val="1"/>
    <w:qFormat/>
    <w:uiPriority w:val="0"/>
    <w:pPr>
      <w:adjustRightInd/>
      <w:ind w:firstLine="200" w:firstLineChars="200"/>
    </w:pPr>
    <w:rPr>
      <w:rFonts w:ascii="Tahoma" w:hAnsi="Tahoma"/>
      <w:sz w:val="24"/>
      <w:szCs w:val="20"/>
    </w:rPr>
  </w:style>
  <w:style w:type="paragraph" w:customStyle="1" w:styleId="791">
    <w:name w:val="列出段落11"/>
    <w:basedOn w:val="1"/>
    <w:qFormat/>
    <w:uiPriority w:val="0"/>
    <w:pPr>
      <w:adjustRightInd/>
      <w:spacing w:line="360" w:lineRule="auto"/>
      <w:ind w:firstLine="420" w:firstLineChars="200"/>
    </w:pPr>
    <w:rPr>
      <w:rFonts w:ascii="Calibri" w:hAnsi="Calibri"/>
      <w:sz w:val="24"/>
      <w:szCs w:val="22"/>
    </w:rPr>
  </w:style>
  <w:style w:type="paragraph" w:customStyle="1" w:styleId="792">
    <w:name w:val="样式 标题 1 + 黑色 段前: 0.5 行 段后: 0.5 行1"/>
    <w:basedOn w:val="2"/>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3">
    <w:name w:val="Char Char Char Char Char Char Char2"/>
    <w:basedOn w:val="1"/>
    <w:qFormat/>
    <w:uiPriority w:val="0"/>
    <w:rPr>
      <w:rFonts w:ascii="仿宋_GB2312" w:eastAsia="仿宋_GB2312"/>
      <w:b/>
      <w:sz w:val="32"/>
      <w:szCs w:val="32"/>
    </w:rPr>
  </w:style>
  <w:style w:type="paragraph" w:customStyle="1" w:styleId="794">
    <w:name w:val="五级条标题"/>
    <w:basedOn w:val="795"/>
    <w:next w:val="640"/>
    <w:qFormat/>
    <w:uiPriority w:val="0"/>
    <w:pPr>
      <w:tabs>
        <w:tab w:val="left" w:pos="1260"/>
        <w:tab w:val="left" w:pos="1680"/>
        <w:tab w:val="left" w:pos="2100"/>
        <w:tab w:val="left" w:pos="2940"/>
        <w:tab w:val="left" w:pos="3360"/>
      </w:tabs>
      <w:ind w:left="3360"/>
      <w:outlineLvl w:val="6"/>
    </w:pPr>
  </w:style>
  <w:style w:type="paragraph" w:customStyle="1" w:styleId="795">
    <w:name w:val="四级条标题"/>
    <w:basedOn w:val="655"/>
    <w:next w:val="640"/>
    <w:qFormat/>
    <w:uiPriority w:val="0"/>
    <w:pPr>
      <w:tabs>
        <w:tab w:val="left" w:pos="2940"/>
        <w:tab w:val="clear" w:pos="2520"/>
      </w:tabs>
      <w:ind w:left="2940"/>
      <w:outlineLvl w:val="5"/>
    </w:pPr>
  </w:style>
  <w:style w:type="paragraph" w:customStyle="1" w:styleId="796">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7">
    <w:name w:val="Char23"/>
    <w:basedOn w:val="1"/>
    <w:qFormat/>
    <w:uiPriority w:val="0"/>
    <w:rPr>
      <w:rFonts w:ascii="仿宋_GB2312" w:eastAsia="仿宋_GB2312"/>
      <w:b/>
      <w:sz w:val="32"/>
      <w:szCs w:val="32"/>
    </w:rPr>
  </w:style>
  <w:style w:type="paragraph" w:customStyle="1" w:styleId="798">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9">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800">
    <w:name w:val="首行缩进"/>
    <w:basedOn w:val="1"/>
    <w:qFormat/>
    <w:uiPriority w:val="0"/>
    <w:pPr>
      <w:spacing w:line="360" w:lineRule="auto"/>
      <w:ind w:firstLine="480" w:firstLineChars="200"/>
    </w:pPr>
    <w:rPr>
      <w:rFonts w:ascii="宋体"/>
      <w:sz w:val="24"/>
      <w:szCs w:val="20"/>
    </w:rPr>
  </w:style>
  <w:style w:type="paragraph" w:customStyle="1" w:styleId="801">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2">
    <w:name w:val="单元格左对齐"/>
    <w:basedOn w:val="1"/>
    <w:qFormat/>
    <w:uiPriority w:val="0"/>
    <w:pPr>
      <w:adjustRightInd/>
      <w:spacing w:line="360" w:lineRule="auto"/>
    </w:pPr>
    <w:rPr>
      <w:sz w:val="24"/>
    </w:rPr>
  </w:style>
  <w:style w:type="paragraph" w:customStyle="1" w:styleId="803">
    <w:name w:val="正文主体"/>
    <w:basedOn w:val="624"/>
    <w:qFormat/>
    <w:uiPriority w:val="0"/>
  </w:style>
  <w:style w:type="paragraph" w:customStyle="1" w:styleId="804">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5">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6">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7">
    <w:name w:val="正文（首行缩进2字符）"/>
    <w:basedOn w:val="1"/>
    <w:qFormat/>
    <w:uiPriority w:val="0"/>
    <w:pPr>
      <w:adjustRightInd/>
      <w:spacing w:line="360" w:lineRule="auto"/>
      <w:ind w:firstLine="480" w:firstLineChars="200"/>
    </w:pPr>
    <w:rPr>
      <w:sz w:val="24"/>
      <w:szCs w:val="20"/>
    </w:rPr>
  </w:style>
  <w:style w:type="paragraph" w:customStyle="1" w:styleId="808">
    <w:name w:val="P1"/>
    <w:basedOn w:val="1"/>
    <w:qFormat/>
    <w:uiPriority w:val="0"/>
    <w:pPr>
      <w:adjustRightInd/>
      <w:spacing w:line="288" w:lineRule="auto"/>
      <w:ind w:firstLine="425" w:firstLineChars="200"/>
    </w:pPr>
  </w:style>
  <w:style w:type="paragraph" w:customStyle="1" w:styleId="809">
    <w:name w:val="列表内容"/>
    <w:basedOn w:val="1"/>
    <w:next w:val="1"/>
    <w:qFormat/>
    <w:uiPriority w:val="0"/>
    <w:pPr>
      <w:widowControl/>
      <w:tabs>
        <w:tab w:val="left" w:pos="840"/>
      </w:tabs>
      <w:ind w:left="840" w:hanging="420"/>
      <w:jc w:val="left"/>
    </w:pPr>
    <w:rPr>
      <w:kern w:val="0"/>
      <w:sz w:val="18"/>
    </w:rPr>
  </w:style>
  <w:style w:type="paragraph" w:customStyle="1" w:styleId="810">
    <w:name w:val="Char Char11 Char Char Char1"/>
    <w:basedOn w:val="1"/>
    <w:qFormat/>
    <w:uiPriority w:val="6"/>
    <w:pPr>
      <w:spacing w:line="360" w:lineRule="auto"/>
    </w:pPr>
    <w:rPr>
      <w:szCs w:val="20"/>
    </w:rPr>
  </w:style>
  <w:style w:type="paragraph" w:customStyle="1" w:styleId="811">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2">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3">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4">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5">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816">
    <w:name w:val="默认段落字体 Para Char Char Char Char"/>
    <w:basedOn w:val="1"/>
    <w:qFormat/>
    <w:uiPriority w:val="0"/>
    <w:pPr>
      <w:spacing w:line="360" w:lineRule="auto"/>
    </w:pPr>
    <w:rPr>
      <w:szCs w:val="20"/>
    </w:rPr>
  </w:style>
  <w:style w:type="paragraph" w:customStyle="1" w:styleId="817">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8">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9">
    <w:name w:val="Char2 Char Char Char2"/>
    <w:basedOn w:val="1"/>
    <w:qFormat/>
    <w:uiPriority w:val="0"/>
    <w:rPr>
      <w:rFonts w:ascii="仿宋_GB2312" w:eastAsia="仿宋_GB2312"/>
      <w:b/>
      <w:sz w:val="32"/>
      <w:szCs w:val="32"/>
    </w:rPr>
  </w:style>
  <w:style w:type="paragraph" w:customStyle="1" w:styleId="820">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1">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2">
    <w:name w:val="正文 首行缩进:  2 字符 Char"/>
    <w:basedOn w:val="1"/>
    <w:qFormat/>
    <w:uiPriority w:val="0"/>
    <w:pPr>
      <w:adjustRightInd/>
      <w:spacing w:line="360" w:lineRule="auto"/>
      <w:ind w:firstLine="480"/>
    </w:pPr>
    <w:rPr>
      <w:rFonts w:cs="宋体"/>
      <w:sz w:val="24"/>
      <w:szCs w:val="20"/>
    </w:rPr>
  </w:style>
  <w:style w:type="paragraph" w:customStyle="1" w:styleId="823">
    <w:name w:val="Char Char4 Char Char"/>
    <w:basedOn w:val="1"/>
    <w:qFormat/>
    <w:uiPriority w:val="0"/>
    <w:pPr>
      <w:widowControl/>
      <w:adjustRightInd/>
      <w:spacing w:after="160" w:line="240" w:lineRule="exact"/>
      <w:jc w:val="left"/>
    </w:pPr>
  </w:style>
  <w:style w:type="paragraph" w:customStyle="1" w:styleId="824">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5">
    <w:name w:val="Char Char11 Char Char Char2"/>
    <w:basedOn w:val="1"/>
    <w:qFormat/>
    <w:uiPriority w:val="0"/>
    <w:pPr>
      <w:spacing w:line="360" w:lineRule="auto"/>
    </w:pPr>
    <w:rPr>
      <w:szCs w:val="20"/>
    </w:rPr>
  </w:style>
  <w:style w:type="paragraph" w:customStyle="1" w:styleId="826">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7">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8">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9">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30">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1">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2">
    <w:name w:val="Char311"/>
    <w:basedOn w:val="1"/>
    <w:qFormat/>
    <w:uiPriority w:val="0"/>
    <w:pPr>
      <w:adjustRightInd/>
      <w:ind w:firstLine="200" w:firstLineChars="200"/>
    </w:pPr>
    <w:rPr>
      <w:rFonts w:ascii="Tahoma" w:hAnsi="Tahoma"/>
      <w:sz w:val="24"/>
      <w:szCs w:val="20"/>
    </w:rPr>
  </w:style>
  <w:style w:type="paragraph" w:customStyle="1" w:styleId="833">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4">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5">
    <w:name w:val="正文 内标"/>
    <w:basedOn w:val="750"/>
    <w:qFormat/>
    <w:uiPriority w:val="0"/>
    <w:pPr>
      <w:tabs>
        <w:tab w:val="left" w:pos="0"/>
      </w:tabs>
      <w:ind w:left="900" w:firstLine="0" w:firstLineChars="0"/>
    </w:pPr>
  </w:style>
  <w:style w:type="paragraph" w:customStyle="1" w:styleId="836">
    <w:name w:val="Bulleted List"/>
    <w:basedOn w:val="1"/>
    <w:qFormat/>
    <w:uiPriority w:val="0"/>
    <w:pPr>
      <w:tabs>
        <w:tab w:val="left" w:pos="1260"/>
      </w:tabs>
      <w:adjustRightInd/>
      <w:ind w:left="1260" w:hanging="420"/>
    </w:pPr>
  </w:style>
  <w:style w:type="paragraph" w:customStyle="1" w:styleId="837">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838">
    <w:name w:val="样式 左侧:  0.85 厘米"/>
    <w:basedOn w:val="1"/>
    <w:qFormat/>
    <w:uiPriority w:val="2"/>
    <w:pPr>
      <w:adjustRightInd/>
      <w:spacing w:line="360" w:lineRule="auto"/>
    </w:pPr>
    <w:rPr>
      <w:rFonts w:cs="宋体"/>
      <w:sz w:val="24"/>
      <w:szCs w:val="20"/>
    </w:rPr>
  </w:style>
  <w:style w:type="paragraph" w:customStyle="1" w:styleId="839">
    <w:name w:val="Char Char Char Char Char Char Char Char Char Char Char Char1 Char"/>
    <w:basedOn w:val="1"/>
    <w:qFormat/>
    <w:uiPriority w:val="0"/>
    <w:rPr>
      <w:rFonts w:ascii="Tahoma" w:hAnsi="Tahoma" w:cs="仿宋_GB2312"/>
      <w:sz w:val="24"/>
      <w:szCs w:val="20"/>
    </w:rPr>
  </w:style>
  <w:style w:type="paragraph" w:customStyle="1" w:styleId="840">
    <w:name w:val="正文1"/>
    <w:basedOn w:val="33"/>
    <w:qFormat/>
    <w:uiPriority w:val="0"/>
    <w:pPr>
      <w:ind w:left="0" w:leftChars="0" w:firstLine="480" w:firstLineChars="200"/>
    </w:pPr>
    <w:rPr>
      <w:rFonts w:ascii="仿宋_GB2312" w:hAnsi="Courier New" w:eastAsia="仿宋_GB2312"/>
      <w:kern w:val="28"/>
      <w:sz w:val="24"/>
    </w:rPr>
  </w:style>
  <w:style w:type="paragraph" w:customStyle="1" w:styleId="841">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2">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3">
    <w:name w:val="模板普通正文"/>
    <w:basedOn w:val="26"/>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4">
    <w:name w:val="Char Char1 Char Char Char Char Char Char"/>
    <w:basedOn w:val="1"/>
    <w:qFormat/>
    <w:uiPriority w:val="0"/>
    <w:rPr>
      <w:rFonts w:ascii="仿宋_GB2312" w:eastAsia="仿宋_GB2312"/>
      <w:b/>
      <w:sz w:val="32"/>
      <w:szCs w:val="20"/>
    </w:rPr>
  </w:style>
  <w:style w:type="paragraph" w:customStyle="1" w:styleId="845">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6">
    <w:name w:val="Char Char1 Char Char Char Char Char Char2"/>
    <w:basedOn w:val="1"/>
    <w:qFormat/>
    <w:uiPriority w:val="0"/>
    <w:rPr>
      <w:rFonts w:ascii="仿宋_GB2312" w:eastAsia="仿宋_GB2312"/>
      <w:b/>
      <w:sz w:val="32"/>
      <w:szCs w:val="20"/>
    </w:rPr>
  </w:style>
  <w:style w:type="paragraph" w:customStyle="1" w:styleId="847">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8">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9">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0">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1">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2">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3">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4">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5">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6">
    <w:name w:val="Char31"/>
    <w:basedOn w:val="1"/>
    <w:qFormat/>
    <w:uiPriority w:val="0"/>
    <w:pPr>
      <w:adjustRightInd/>
    </w:pPr>
    <w:rPr>
      <w:rFonts w:ascii="仿宋_GB2312" w:eastAsia="仿宋_GB2312"/>
      <w:b/>
      <w:sz w:val="32"/>
      <w:szCs w:val="32"/>
    </w:rPr>
  </w:style>
  <w:style w:type="paragraph" w:customStyle="1" w:styleId="857">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58">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9">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0">
    <w:name w:val="Char Char1"/>
    <w:basedOn w:val="1"/>
    <w:qFormat/>
    <w:uiPriority w:val="0"/>
    <w:pPr>
      <w:widowControl/>
      <w:spacing w:after="160" w:line="240" w:lineRule="exact"/>
      <w:jc w:val="left"/>
    </w:pPr>
    <w:rPr>
      <w:rFonts w:eastAsia="仿宋_GB2312"/>
      <w:sz w:val="28"/>
    </w:rPr>
  </w:style>
  <w:style w:type="paragraph" w:customStyle="1" w:styleId="861">
    <w:name w:val="Char21"/>
    <w:basedOn w:val="1"/>
    <w:qFormat/>
    <w:uiPriority w:val="0"/>
    <w:pPr>
      <w:adjustRightInd/>
      <w:ind w:firstLine="200" w:firstLineChars="200"/>
    </w:pPr>
    <w:rPr>
      <w:rFonts w:ascii="仿宋_GB2312" w:eastAsia="仿宋_GB2312"/>
      <w:b/>
      <w:sz w:val="32"/>
      <w:szCs w:val="32"/>
    </w:rPr>
  </w:style>
  <w:style w:type="paragraph" w:customStyle="1" w:styleId="862">
    <w:name w:val="列表段落1"/>
    <w:basedOn w:val="1"/>
    <w:qFormat/>
    <w:uiPriority w:val="34"/>
    <w:pPr>
      <w:adjustRightInd/>
      <w:ind w:right="238" w:firstLine="420"/>
    </w:pPr>
    <w:rPr>
      <w:rFonts w:ascii="Calibri" w:hAnsi="Calibri"/>
      <w:sz w:val="24"/>
    </w:rPr>
  </w:style>
  <w:style w:type="paragraph" w:customStyle="1" w:styleId="863">
    <w:name w:val="Char Char110"/>
    <w:basedOn w:val="1"/>
    <w:qFormat/>
    <w:uiPriority w:val="6"/>
    <w:pPr>
      <w:spacing w:line="360" w:lineRule="auto"/>
    </w:pPr>
    <w:rPr>
      <w:rFonts w:ascii="Tahoma" w:hAnsi="Tahoma"/>
      <w:sz w:val="24"/>
      <w:szCs w:val="20"/>
    </w:rPr>
  </w:style>
  <w:style w:type="paragraph" w:customStyle="1" w:styleId="864">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5">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6">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7">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8">
    <w:name w:val="Char Char Char Char Char Char Char Char Char Char Char Char1 Char2"/>
    <w:basedOn w:val="1"/>
    <w:qFormat/>
    <w:uiPriority w:val="0"/>
    <w:rPr>
      <w:rFonts w:ascii="Tahoma" w:hAnsi="Tahoma" w:cs="仿宋_GB2312"/>
      <w:sz w:val="24"/>
      <w:szCs w:val="20"/>
    </w:rPr>
  </w:style>
  <w:style w:type="paragraph" w:customStyle="1" w:styleId="869">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0">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1">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872">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3">
    <w:name w:val="_Style 12"/>
    <w:basedOn w:val="18"/>
    <w:qFormat/>
    <w:uiPriority w:val="0"/>
    <w:pPr>
      <w:snapToGrid w:val="0"/>
      <w:spacing w:line="360" w:lineRule="auto"/>
    </w:pPr>
  </w:style>
  <w:style w:type="paragraph" w:customStyle="1" w:styleId="874">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5">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6">
    <w:name w:val="_Style 94"/>
    <w:basedOn w:val="1"/>
    <w:next w:val="258"/>
    <w:qFormat/>
    <w:uiPriority w:val="34"/>
    <w:pPr>
      <w:adjustRightInd/>
      <w:spacing w:line="360" w:lineRule="auto"/>
      <w:ind w:firstLine="200" w:firstLineChars="200"/>
    </w:pPr>
    <w:rPr>
      <w:rFonts w:ascii="Calibri" w:hAnsi="Calibri"/>
      <w:sz w:val="28"/>
      <w:szCs w:val="20"/>
    </w:rPr>
  </w:style>
  <w:style w:type="paragraph" w:customStyle="1" w:styleId="877">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8">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9">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0">
    <w:name w:val="3级标题"/>
    <w:basedOn w:val="672"/>
    <w:qFormat/>
    <w:uiPriority w:val="0"/>
    <w:pPr>
      <w:outlineLvl w:val="2"/>
    </w:pPr>
  </w:style>
  <w:style w:type="paragraph" w:customStyle="1" w:styleId="881">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2">
    <w:name w:val="Char1 Char Char Char3"/>
    <w:basedOn w:val="1"/>
    <w:qFormat/>
    <w:uiPriority w:val="0"/>
    <w:pPr>
      <w:adjustRightInd/>
      <w:ind w:firstLine="200" w:firstLineChars="200"/>
    </w:pPr>
    <w:rPr>
      <w:rFonts w:ascii="Tahoma" w:hAnsi="Tahoma"/>
      <w:sz w:val="24"/>
      <w:szCs w:val="20"/>
    </w:rPr>
  </w:style>
  <w:style w:type="paragraph" w:customStyle="1" w:styleId="883">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4">
    <w:name w:val="MM Empty"/>
    <w:basedOn w:val="1"/>
    <w:qFormat/>
    <w:uiPriority w:val="0"/>
    <w:pPr>
      <w:adjustRightInd/>
    </w:pPr>
  </w:style>
  <w:style w:type="paragraph" w:customStyle="1" w:styleId="885">
    <w:name w:val="Char24"/>
    <w:basedOn w:val="1"/>
    <w:qFormat/>
    <w:uiPriority w:val="0"/>
    <w:rPr>
      <w:rFonts w:ascii="仿宋_GB2312" w:eastAsia="仿宋_GB2312"/>
      <w:b/>
      <w:sz w:val="32"/>
      <w:szCs w:val="32"/>
    </w:rPr>
  </w:style>
  <w:style w:type="paragraph" w:customStyle="1" w:styleId="886">
    <w:name w:val="正文箭头"/>
    <w:basedOn w:val="538"/>
    <w:qFormat/>
    <w:uiPriority w:val="0"/>
  </w:style>
  <w:style w:type="paragraph" w:customStyle="1" w:styleId="887">
    <w:name w:val="U_编号2"/>
    <w:basedOn w:val="1"/>
    <w:qFormat/>
    <w:uiPriority w:val="0"/>
    <w:pPr>
      <w:tabs>
        <w:tab w:val="left" w:pos="785"/>
      </w:tabs>
      <w:adjustRightInd/>
      <w:spacing w:beforeLines="10" w:afterLines="10" w:line="300" w:lineRule="auto"/>
    </w:pPr>
    <w:rPr>
      <w:sz w:val="24"/>
    </w:rPr>
  </w:style>
  <w:style w:type="paragraph" w:customStyle="1" w:styleId="888">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9">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0">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1">
    <w:name w:val="TOC 标题11"/>
    <w:basedOn w:val="2"/>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2">
    <w:name w:val="_Style 1"/>
    <w:basedOn w:val="1"/>
    <w:qFormat/>
    <w:uiPriority w:val="34"/>
    <w:pPr>
      <w:adjustRightInd/>
      <w:ind w:firstLine="420" w:firstLineChars="200"/>
    </w:pPr>
    <w:rPr>
      <w:rFonts w:eastAsia="仿宋_GB2312"/>
      <w:sz w:val="28"/>
    </w:rPr>
  </w:style>
  <w:style w:type="paragraph" w:customStyle="1" w:styleId="893">
    <w:name w:val="表格 内容"/>
    <w:basedOn w:val="729"/>
    <w:qFormat/>
    <w:uiPriority w:val="0"/>
    <w:rPr>
      <w:b w:val="0"/>
      <w:sz w:val="20"/>
    </w:rPr>
  </w:style>
  <w:style w:type="paragraph" w:customStyle="1" w:styleId="894">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5">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6">
    <w:name w:val="数字标题5"/>
    <w:basedOn w:val="7"/>
    <w:next w:val="1"/>
    <w:qFormat/>
    <w:uiPriority w:val="0"/>
    <w:pPr>
      <w:tabs>
        <w:tab w:val="left" w:pos="1080"/>
      </w:tabs>
      <w:ind w:left="1080" w:hanging="1080"/>
    </w:pPr>
  </w:style>
  <w:style w:type="paragraph" w:customStyle="1" w:styleId="897">
    <w:name w:val="数字标题1"/>
    <w:basedOn w:val="2"/>
    <w:next w:val="1"/>
    <w:qFormat/>
    <w:uiPriority w:val="0"/>
    <w:pPr>
      <w:tabs>
        <w:tab w:val="left" w:pos="480"/>
      </w:tabs>
      <w:ind w:left="480" w:hanging="480"/>
    </w:pPr>
  </w:style>
  <w:style w:type="paragraph" w:customStyle="1" w:styleId="898">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9">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0">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1">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2">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3">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4">
    <w:name w:val="0"/>
    <w:basedOn w:val="1"/>
    <w:qFormat/>
    <w:uiPriority w:val="0"/>
    <w:pPr>
      <w:widowControl/>
    </w:pPr>
    <w:rPr>
      <w:kern w:val="0"/>
      <w:sz w:val="24"/>
      <w:szCs w:val="20"/>
    </w:rPr>
  </w:style>
  <w:style w:type="paragraph" w:customStyle="1" w:styleId="905">
    <w:name w:val="Char Char113"/>
    <w:basedOn w:val="1"/>
    <w:qFormat/>
    <w:uiPriority w:val="0"/>
    <w:pPr>
      <w:widowControl/>
      <w:spacing w:after="160" w:line="240" w:lineRule="exact"/>
      <w:jc w:val="left"/>
    </w:pPr>
    <w:rPr>
      <w:rFonts w:eastAsia="仿宋_GB2312"/>
      <w:sz w:val="28"/>
    </w:rPr>
  </w:style>
  <w:style w:type="paragraph" w:customStyle="1" w:styleId="906">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7">
    <w:name w:val="_Style 8"/>
    <w:basedOn w:val="1"/>
    <w:qFormat/>
    <w:uiPriority w:val="34"/>
    <w:pPr>
      <w:adjustRightInd/>
      <w:ind w:firstLine="420" w:firstLineChars="200"/>
    </w:pPr>
    <w:rPr>
      <w:rFonts w:eastAsia="仿宋_GB2312"/>
      <w:sz w:val="28"/>
    </w:rPr>
  </w:style>
  <w:style w:type="paragraph" w:customStyle="1" w:styleId="908">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9">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10">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1">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2">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3">
    <w:name w:val="Char Char112"/>
    <w:basedOn w:val="1"/>
    <w:qFormat/>
    <w:uiPriority w:val="6"/>
    <w:pPr>
      <w:widowControl/>
      <w:spacing w:after="160" w:line="240" w:lineRule="exact"/>
      <w:jc w:val="left"/>
    </w:pPr>
    <w:rPr>
      <w:rFonts w:eastAsia="仿宋_GB2312"/>
      <w:sz w:val="28"/>
    </w:rPr>
  </w:style>
  <w:style w:type="paragraph" w:customStyle="1" w:styleId="914">
    <w:name w:val="正文 图"/>
    <w:basedOn w:val="443"/>
    <w:qFormat/>
    <w:uiPriority w:val="0"/>
    <w:pPr>
      <w:adjustRightInd/>
      <w:spacing w:before="0"/>
      <w:ind w:firstLine="0"/>
      <w:jc w:val="center"/>
    </w:pPr>
    <w:rPr>
      <w:rFonts w:ascii="微软雅黑" w:hAnsi="微软雅黑"/>
    </w:rPr>
  </w:style>
  <w:style w:type="paragraph" w:customStyle="1" w:styleId="915">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6">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7">
    <w:name w:val="Thf"/>
    <w:basedOn w:val="562"/>
    <w:qFormat/>
    <w:uiPriority w:val="0"/>
    <w:pPr>
      <w:ind w:left="0"/>
    </w:pPr>
  </w:style>
  <w:style w:type="paragraph" w:customStyle="1" w:styleId="918">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9">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20">
    <w:name w:val="注释"/>
    <w:basedOn w:val="1"/>
    <w:qFormat/>
    <w:uiPriority w:val="0"/>
    <w:pPr>
      <w:adjustRightInd/>
      <w:spacing w:line="360" w:lineRule="auto"/>
      <w:ind w:firstLine="480"/>
    </w:pPr>
    <w:rPr>
      <w:sz w:val="24"/>
    </w:rPr>
  </w:style>
  <w:style w:type="table" w:customStyle="1" w:styleId="921">
    <w:name w:val="网格型2"/>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1"/>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6"/>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3"/>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4"/>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6">
    <w:name w:val="网格型5"/>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7">
    <w:name w:val="列出段落111"/>
    <w:basedOn w:val="1"/>
    <w:qFormat/>
    <w:uiPriority w:val="34"/>
    <w:pPr>
      <w:ind w:firstLine="420" w:firstLineChars="200"/>
    </w:pPr>
  </w:style>
  <w:style w:type="character" w:customStyle="1" w:styleId="928">
    <w:name w:val="交叉引用"/>
    <w:qFormat/>
    <w:uiPriority w:val="1"/>
    <w:rPr>
      <w:rFonts w:ascii="Arial" w:hAnsi="Arial" w:eastAsia="黑体"/>
      <w:snapToGrid w:val="0"/>
      <w:color w:val="0000FF"/>
      <w:kern w:val="0"/>
      <w:sz w:val="20"/>
      <w:szCs w:val="21"/>
      <w:u w:val="single"/>
      <w:lang w:val="en-US" w:eastAsia="zh-CN"/>
    </w:rPr>
  </w:style>
  <w:style w:type="character" w:customStyle="1" w:styleId="929">
    <w:name w:val="正文缩进 字符1"/>
    <w:qFormat/>
    <w:uiPriority w:val="0"/>
    <w:rPr>
      <w:rFonts w:ascii="宋体" w:eastAsia="宋体"/>
      <w:snapToGrid w:val="0"/>
      <w:color w:val="000000"/>
      <w:kern w:val="28"/>
      <w:sz w:val="28"/>
      <w:lang w:val="en-US" w:eastAsia="zh-CN" w:bidi="ar-SA"/>
    </w:rPr>
  </w:style>
  <w:style w:type="character" w:customStyle="1" w:styleId="930">
    <w:name w:val="页脚 字符1"/>
    <w:qFormat/>
    <w:locked/>
    <w:uiPriority w:val="99"/>
    <w:rPr>
      <w:kern w:val="2"/>
      <w:sz w:val="18"/>
      <w:szCs w:val="18"/>
    </w:rPr>
  </w:style>
  <w:style w:type="character" w:customStyle="1" w:styleId="931">
    <w:name w:val="页眉 字符1"/>
    <w:qFormat/>
    <w:uiPriority w:val="99"/>
    <w:rPr>
      <w:kern w:val="2"/>
      <w:sz w:val="18"/>
      <w:szCs w:val="18"/>
    </w:rPr>
  </w:style>
  <w:style w:type="character" w:customStyle="1" w:styleId="932">
    <w:name w:val="尾注文本 Char"/>
    <w:link w:val="39"/>
    <w:qFormat/>
    <w:uiPriority w:val="0"/>
    <w:rPr>
      <w:kern w:val="2"/>
      <w:sz w:val="21"/>
      <w:szCs w:val="24"/>
      <w:lang w:val="zh-CN"/>
    </w:rPr>
  </w:style>
  <w:style w:type="character" w:customStyle="1" w:styleId="933">
    <w:name w:val="无间隔 字符"/>
    <w:link w:val="483"/>
    <w:qFormat/>
    <w:uiPriority w:val="99"/>
    <w:rPr>
      <w:kern w:val="2"/>
      <w:sz w:val="21"/>
      <w:szCs w:val="22"/>
    </w:rPr>
  </w:style>
  <w:style w:type="character" w:customStyle="1" w:styleId="934">
    <w:name w:val="标准文本 Char Char"/>
    <w:link w:val="935"/>
    <w:qFormat/>
    <w:uiPriority w:val="0"/>
    <w:rPr>
      <w:rFonts w:cs="宋体"/>
      <w:kern w:val="2"/>
      <w:sz w:val="24"/>
    </w:rPr>
  </w:style>
  <w:style w:type="paragraph" w:customStyle="1" w:styleId="935">
    <w:name w:val="标准文本"/>
    <w:basedOn w:val="1"/>
    <w:link w:val="934"/>
    <w:qFormat/>
    <w:uiPriority w:val="0"/>
    <w:pPr>
      <w:adjustRightInd/>
      <w:spacing w:line="360" w:lineRule="auto"/>
      <w:ind w:firstLine="480" w:firstLineChars="200"/>
    </w:pPr>
    <w:rPr>
      <w:rFonts w:cs="宋体"/>
      <w:sz w:val="24"/>
      <w:szCs w:val="20"/>
    </w:rPr>
  </w:style>
  <w:style w:type="character" w:customStyle="1" w:styleId="936">
    <w:name w:val="Char Char213"/>
    <w:qFormat/>
    <w:uiPriority w:val="0"/>
    <w:rPr>
      <w:rFonts w:eastAsia="Century Gothic"/>
      <w:b/>
      <w:bCs/>
      <w:kern w:val="44"/>
      <w:sz w:val="32"/>
      <w:szCs w:val="44"/>
      <w:lang w:val="en-US" w:eastAsia="zh-CN" w:bidi="ar-SA"/>
    </w:rPr>
  </w:style>
  <w:style w:type="character" w:customStyle="1" w:styleId="937">
    <w:name w:val="apple-style-span"/>
    <w:qFormat/>
    <w:uiPriority w:val="0"/>
    <w:rPr>
      <w:rFonts w:ascii="Arial" w:hAnsi="Arial" w:eastAsia="黑体" w:cs="Arial"/>
      <w:snapToGrid w:val="0"/>
      <w:kern w:val="0"/>
      <w:szCs w:val="21"/>
    </w:rPr>
  </w:style>
  <w:style w:type="character" w:customStyle="1" w:styleId="938">
    <w:name w:val="15"/>
    <w:qFormat/>
    <w:uiPriority w:val="0"/>
    <w:rPr>
      <w:rFonts w:hint="default" w:ascii="Calibri" w:hAnsi="Calibri"/>
      <w:color w:val="0000FF"/>
      <w:u w:val="single"/>
    </w:rPr>
  </w:style>
  <w:style w:type="character" w:customStyle="1" w:styleId="939">
    <w:name w:val="16"/>
    <w:qFormat/>
    <w:uiPriority w:val="0"/>
    <w:rPr>
      <w:rFonts w:hint="eastAsia" w:ascii="宋体" w:hAnsi="宋体" w:eastAsia="宋体"/>
      <w:color w:val="000000"/>
      <w:sz w:val="20"/>
      <w:szCs w:val="20"/>
    </w:rPr>
  </w:style>
  <w:style w:type="character" w:customStyle="1" w:styleId="940">
    <w:name w:val="edui-unclickable"/>
    <w:qFormat/>
    <w:uiPriority w:val="0"/>
    <w:rPr>
      <w:color w:val="808080"/>
    </w:rPr>
  </w:style>
  <w:style w:type="character" w:customStyle="1" w:styleId="941">
    <w:name w:val="tpc_content1"/>
    <w:qFormat/>
    <w:uiPriority w:val="0"/>
    <w:rPr>
      <w:sz w:val="20"/>
      <w:szCs w:val="20"/>
    </w:rPr>
  </w:style>
  <w:style w:type="character" w:customStyle="1" w:styleId="942">
    <w:name w:val="正文文本缩进 字符"/>
    <w:qFormat/>
    <w:uiPriority w:val="0"/>
    <w:rPr>
      <w:rFonts w:ascii="Century Gothic" w:hAnsi="Century Gothic" w:eastAsia="Century Gothic"/>
      <w:kern w:val="2"/>
      <w:sz w:val="24"/>
      <w:lang w:val="en-US" w:eastAsia="zh-CN" w:bidi="ar-SA"/>
    </w:rPr>
  </w:style>
  <w:style w:type="character" w:customStyle="1" w:styleId="943">
    <w:name w:val="正文文本 2 字符"/>
    <w:qFormat/>
    <w:uiPriority w:val="0"/>
    <w:rPr>
      <w:rFonts w:ascii="Arial" w:hAnsi="Arial" w:eastAsia="宋体"/>
      <w:kern w:val="2"/>
      <w:sz w:val="24"/>
      <w:szCs w:val="24"/>
      <w:lang w:val="en-US" w:eastAsia="zh-CN" w:bidi="ar-SA"/>
    </w:rPr>
  </w:style>
  <w:style w:type="character" w:customStyle="1" w:styleId="944">
    <w:name w:val="edui-clickable2"/>
    <w:qFormat/>
    <w:uiPriority w:val="0"/>
    <w:rPr>
      <w:color w:val="0000FF"/>
      <w:u w:val="single"/>
    </w:rPr>
  </w:style>
  <w:style w:type="character" w:customStyle="1" w:styleId="945">
    <w:name w:val="style1"/>
    <w:qFormat/>
    <w:uiPriority w:val="0"/>
    <w:rPr>
      <w:rFonts w:ascii="Arial" w:hAnsi="Arial" w:eastAsia="黑体" w:cs="Arial"/>
      <w:snapToGrid w:val="0"/>
      <w:kern w:val="0"/>
      <w:szCs w:val="21"/>
    </w:rPr>
  </w:style>
  <w:style w:type="character" w:customStyle="1" w:styleId="946">
    <w:name w:val="zbggtop11 style5"/>
    <w:qFormat/>
    <w:uiPriority w:val="0"/>
    <w:rPr>
      <w:rFonts w:ascii="Arial" w:hAnsi="Arial" w:eastAsia="黑体" w:cs="Arial"/>
      <w:snapToGrid w:val="0"/>
      <w:kern w:val="0"/>
      <w:szCs w:val="21"/>
    </w:rPr>
  </w:style>
  <w:style w:type="character" w:customStyle="1" w:styleId="947">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8">
    <w:name w:val="bulletintext1"/>
    <w:qFormat/>
    <w:uiPriority w:val="0"/>
    <w:rPr>
      <w:color w:val="000000"/>
      <w:sz w:val="18"/>
    </w:rPr>
  </w:style>
  <w:style w:type="paragraph" w:customStyle="1" w:styleId="949">
    <w:name w:val="_Style 947"/>
    <w:basedOn w:val="1"/>
    <w:next w:val="258"/>
    <w:qFormat/>
    <w:uiPriority w:val="34"/>
    <w:pPr>
      <w:adjustRightInd/>
      <w:ind w:firstLine="420" w:firstLineChars="200"/>
    </w:pPr>
  </w:style>
  <w:style w:type="paragraph" w:customStyle="1" w:styleId="950">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1">
    <w:name w:val="纯文本2"/>
    <w:basedOn w:val="1"/>
    <w:qFormat/>
    <w:uiPriority w:val="0"/>
    <w:pPr>
      <w:adjustRightInd/>
      <w:snapToGrid w:val="0"/>
      <w:jc w:val="left"/>
    </w:pPr>
    <w:rPr>
      <w:rFonts w:ascii="Century Gothic" w:hAnsi="楷体_GB2312" w:eastAsia="Century Gothic"/>
      <w:szCs w:val="20"/>
    </w:rPr>
  </w:style>
  <w:style w:type="paragraph" w:customStyle="1" w:styleId="952">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3">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4">
    <w:name w:val="节"/>
    <w:basedOn w:val="3"/>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5">
    <w:name w:val="Blockquote"/>
    <w:basedOn w:val="1"/>
    <w:qFormat/>
    <w:uiPriority w:val="0"/>
    <w:pPr>
      <w:autoSpaceDE w:val="0"/>
      <w:autoSpaceDN w:val="0"/>
      <w:spacing w:before="100" w:after="100"/>
      <w:ind w:left="360" w:right="360"/>
      <w:jc w:val="left"/>
    </w:pPr>
    <w:rPr>
      <w:kern w:val="0"/>
      <w:sz w:val="24"/>
      <w:szCs w:val="20"/>
    </w:rPr>
  </w:style>
  <w:style w:type="paragraph" w:customStyle="1" w:styleId="956">
    <w:name w:val="p1"/>
    <w:basedOn w:val="1"/>
    <w:qFormat/>
    <w:uiPriority w:val="0"/>
    <w:pPr>
      <w:widowControl/>
      <w:adjustRightInd/>
      <w:jc w:val="left"/>
    </w:pPr>
    <w:rPr>
      <w:rFonts w:ascii=".PingFang SC" w:eastAsia=".PingFang SC"/>
      <w:color w:val="454545"/>
      <w:kern w:val="0"/>
      <w:sz w:val="18"/>
      <w:szCs w:val="18"/>
    </w:rPr>
  </w:style>
  <w:style w:type="paragraph" w:customStyle="1" w:styleId="957">
    <w:name w:val="Table Paragraph"/>
    <w:basedOn w:val="1"/>
    <w:qFormat/>
    <w:uiPriority w:val="0"/>
    <w:pPr>
      <w:adjustRightInd/>
      <w:jc w:val="left"/>
    </w:pPr>
    <w:rPr>
      <w:rFonts w:ascii="Calibri" w:hAnsi="Calibri"/>
      <w:kern w:val="0"/>
      <w:sz w:val="22"/>
      <w:szCs w:val="22"/>
      <w:lang w:eastAsia="en-US"/>
    </w:rPr>
  </w:style>
  <w:style w:type="paragraph" w:customStyle="1" w:styleId="958">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9">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60">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1">
    <w:name w:val="ksfind_class_select1"/>
    <w:basedOn w:val="70"/>
    <w:qFormat/>
    <w:uiPriority w:val="0"/>
    <w:rPr>
      <w:color w:val="000000"/>
      <w:shd w:val="clear" w:color="auto" w:fill="EFD200"/>
    </w:rPr>
  </w:style>
  <w:style w:type="character" w:customStyle="1" w:styleId="962">
    <w:name w:val="font71"/>
    <w:qFormat/>
    <w:uiPriority w:val="0"/>
    <w:rPr>
      <w:rFonts w:hint="eastAsia" w:ascii="宋体" w:hAnsi="宋体" w:eastAsia="宋体" w:cs="宋体"/>
      <w:color w:val="000000"/>
      <w:sz w:val="22"/>
      <w:szCs w:val="22"/>
      <w:u w:val="none"/>
    </w:rPr>
  </w:style>
  <w:style w:type="character" w:customStyle="1" w:styleId="963">
    <w:name w:val="font91"/>
    <w:qFormat/>
    <w:uiPriority w:val="0"/>
    <w:rPr>
      <w:rFonts w:hint="eastAsia" w:ascii="仿宋" w:hAnsi="仿宋" w:eastAsia="仿宋" w:cs="仿宋"/>
      <w:color w:val="000000"/>
      <w:sz w:val="22"/>
      <w:szCs w:val="22"/>
      <w:u w:val="none"/>
    </w:rPr>
  </w:style>
  <w:style w:type="paragraph" w:customStyle="1" w:styleId="964">
    <w:name w:val="样式 标题 2 + Times New Roman 四号 非加粗 段前: 5 磅 段后: 0 磅 行距: 固定值 20..."/>
    <w:basedOn w:val="3"/>
    <w:qFormat/>
    <w:uiPriority w:val="0"/>
    <w:pPr>
      <w:tabs>
        <w:tab w:val="left" w:pos="1080"/>
        <w:tab w:val="clear" w:pos="432"/>
      </w:tabs>
      <w:spacing w:before="100" w:line="400" w:lineRule="exact"/>
    </w:pPr>
    <w:rPr>
      <w:rFonts w:ascii="Times New Roman" w:hAnsi="Times New Roman" w:eastAsia="黑体" w:cs="宋体"/>
      <w:b w:val="0"/>
      <w:sz w:val="28"/>
      <w:szCs w:val="20"/>
    </w:rPr>
  </w:style>
  <w:style w:type="paragraph" w:customStyle="1" w:styleId="965">
    <w:name w:val="p16"/>
    <w:basedOn w:val="1"/>
    <w:qFormat/>
    <w:uiPriority w:val="0"/>
    <w:pPr>
      <w:widowControl/>
      <w:spacing w:before="100" w:after="100"/>
      <w:jc w:val="left"/>
    </w:pPr>
    <w:rPr>
      <w:rFonts w:ascii="宋体" w:hAnsi="宋体" w:cs="宋体"/>
      <w:color w:val="000000"/>
      <w:kern w:val="0"/>
      <w:sz w:val="24"/>
    </w:rPr>
  </w:style>
  <w:style w:type="paragraph" w:customStyle="1" w:styleId="966">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967">
    <w:name w:val="[Normal]"/>
    <w:qFormat/>
    <w:uiPriority w:val="0"/>
    <w:pPr>
      <w:widowControl w:val="0"/>
      <w:autoSpaceDE w:val="0"/>
      <w:autoSpaceDN w:val="0"/>
      <w:adjustRightInd w:val="0"/>
    </w:pPr>
    <w:rPr>
      <w:rFonts w:ascii="宋体" w:hAnsi="Times New Roman" w:eastAsia="宋体" w:cs="宋体"/>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6" Type="http://schemas.openxmlformats.org/officeDocument/2006/relationships/fontTable" Target="fontTable.xml"/><Relationship Id="rId35" Type="http://schemas.openxmlformats.org/officeDocument/2006/relationships/numbering" Target="numbering.xml"/><Relationship Id="rId34" Type="http://schemas.openxmlformats.org/officeDocument/2006/relationships/customXml" Target="../customXml/item1.xml"/><Relationship Id="rId33" Type="http://schemas.openxmlformats.org/officeDocument/2006/relationships/theme" Target="theme/theme1.xml"/><Relationship Id="rId32" Type="http://schemas.openxmlformats.org/officeDocument/2006/relationships/footer" Target="footer20.xml"/><Relationship Id="rId31" Type="http://schemas.openxmlformats.org/officeDocument/2006/relationships/footer" Target="footer19.xml"/><Relationship Id="rId30" Type="http://schemas.openxmlformats.org/officeDocument/2006/relationships/footer" Target="footer18.xml"/><Relationship Id="rId3" Type="http://schemas.openxmlformats.org/officeDocument/2006/relationships/header" Target="header1.xml"/><Relationship Id="rId29" Type="http://schemas.openxmlformats.org/officeDocument/2006/relationships/header" Target="header10.xml"/><Relationship Id="rId28" Type="http://schemas.openxmlformats.org/officeDocument/2006/relationships/footer" Target="footer17.xml"/><Relationship Id="rId27" Type="http://schemas.openxmlformats.org/officeDocument/2006/relationships/footer" Target="footer16.xml"/><Relationship Id="rId26" Type="http://schemas.openxmlformats.org/officeDocument/2006/relationships/header" Target="header9.xml"/><Relationship Id="rId25" Type="http://schemas.openxmlformats.org/officeDocument/2006/relationships/header" Target="header8.xml"/><Relationship Id="rId24" Type="http://schemas.openxmlformats.org/officeDocument/2006/relationships/footer" Target="footer15.xml"/><Relationship Id="rId23" Type="http://schemas.openxmlformats.org/officeDocument/2006/relationships/footer" Target="footer14.xml"/><Relationship Id="rId22" Type="http://schemas.openxmlformats.org/officeDocument/2006/relationships/header" Target="header7.xml"/><Relationship Id="rId21" Type="http://schemas.openxmlformats.org/officeDocument/2006/relationships/footer" Target="footer13.xml"/><Relationship Id="rId20" Type="http://schemas.openxmlformats.org/officeDocument/2006/relationships/footer" Target="footer12.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footer" Target="footer10.xml"/><Relationship Id="rId17" Type="http://schemas.openxmlformats.org/officeDocument/2006/relationships/header" Target="header6.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header" Target="header5.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1</Pages>
  <Words>13025</Words>
  <Characters>74244</Characters>
  <Lines>618</Lines>
  <Paragraphs>174</Paragraphs>
  <TotalTime>34</TotalTime>
  <ScaleCrop>false</ScaleCrop>
  <LinksUpToDate>false</LinksUpToDate>
  <CharactersWithSpaces>87095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2022-05-07T07:35:00Z</dcterms:created>
  <dc:creator>玥</dc:creator>
  <cp:lastModifiedBy>豪圣</cp:lastModifiedBy>
  <cp:lastPrinted>2021-12-27T11:06:00Z</cp:lastPrinted>
  <dcterms:modified xsi:type="dcterms:W3CDTF">2023-12-18T13:00:38Z</dcterms:modified>
  <dc:title>杭州市市民卡扩大发卡工程</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83589AC267EF48CC88AD14CF5C3F9FE4_13</vt:lpwstr>
  </property>
  <property fmtid="{D5CDD505-2E9C-101B-9397-08002B2CF9AE}" pid="5" name="commondata">
    <vt:lpwstr>eyJoZGlkIjoiNGNlMmFkMDQ1NDY0ZmRiM2Q0NjY4NTFjN2IwMTllYjMifQ==</vt:lpwstr>
  </property>
</Properties>
</file>